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Default Extension="bin" ContentType="application/vnd.openxmlformats-officedocument.oleObject"/>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3CE" w:rsidRPr="008F00C9" w:rsidRDefault="001023CE" w:rsidP="001023CE">
      <w:pPr>
        <w:jc w:val="center"/>
        <w:rPr>
          <w:rFonts w:ascii="Times New Roman" w:hAnsi="Times New Roman" w:cs="Times New Roman"/>
          <w:b/>
          <w:sz w:val="26"/>
          <w:szCs w:val="26"/>
        </w:rPr>
      </w:pPr>
    </w:p>
    <w:p w:rsidR="001023CE" w:rsidRPr="008F00C9" w:rsidRDefault="001023CE" w:rsidP="001023CE">
      <w:pPr>
        <w:jc w:val="center"/>
        <w:rPr>
          <w:rFonts w:ascii="Times New Roman" w:hAnsi="Times New Roman" w:cs="Times New Roman"/>
          <w:b/>
          <w:sz w:val="26"/>
          <w:szCs w:val="26"/>
        </w:rPr>
      </w:pPr>
      <w:r w:rsidRPr="008F00C9">
        <w:rPr>
          <w:rFonts w:ascii="Times New Roman" w:hAnsi="Times New Roman" w:cs="Times New Roman"/>
          <w:b/>
          <w:sz w:val="26"/>
          <w:szCs w:val="26"/>
        </w:rPr>
        <w:t>BABEŞ</w:t>
      </w:r>
      <w:r w:rsidR="00BD038D" w:rsidRPr="008F00C9">
        <w:rPr>
          <w:rFonts w:ascii="Times New Roman" w:hAnsi="Times New Roman" w:cs="Times New Roman"/>
          <w:b/>
          <w:sz w:val="26"/>
          <w:szCs w:val="26"/>
        </w:rPr>
        <w:t xml:space="preserve"> BOLYAI </w:t>
      </w:r>
      <w:r w:rsidR="003D271A" w:rsidRPr="008F00C9">
        <w:rPr>
          <w:rFonts w:ascii="Times New Roman" w:hAnsi="Times New Roman" w:cs="Times New Roman"/>
          <w:b/>
          <w:sz w:val="26"/>
          <w:szCs w:val="26"/>
        </w:rPr>
        <w:t>UNIVERSITY OF</w:t>
      </w:r>
      <w:r w:rsidR="00BD038D" w:rsidRPr="008F00C9">
        <w:rPr>
          <w:rFonts w:ascii="Times New Roman" w:hAnsi="Times New Roman" w:cs="Times New Roman"/>
          <w:b/>
          <w:sz w:val="26"/>
          <w:szCs w:val="26"/>
        </w:rPr>
        <w:t xml:space="preserve"> CLUJ-</w:t>
      </w:r>
      <w:r w:rsidRPr="008F00C9">
        <w:rPr>
          <w:rFonts w:ascii="Times New Roman" w:hAnsi="Times New Roman" w:cs="Times New Roman"/>
          <w:b/>
          <w:sz w:val="26"/>
          <w:szCs w:val="26"/>
        </w:rPr>
        <w:t>NAPOCA</w:t>
      </w:r>
    </w:p>
    <w:p w:rsidR="001023CE" w:rsidRPr="008F00C9" w:rsidRDefault="003D271A" w:rsidP="001023CE">
      <w:pPr>
        <w:jc w:val="center"/>
        <w:rPr>
          <w:rFonts w:ascii="Times New Roman" w:hAnsi="Times New Roman" w:cs="Times New Roman"/>
          <w:b/>
          <w:i/>
          <w:sz w:val="26"/>
          <w:szCs w:val="26"/>
        </w:rPr>
      </w:pPr>
      <w:r w:rsidRPr="008F00C9">
        <w:rPr>
          <w:rFonts w:ascii="Times New Roman" w:hAnsi="Times New Roman" w:cs="Times New Roman"/>
          <w:b/>
          <w:sz w:val="24"/>
          <w:szCs w:val="26"/>
        </w:rPr>
        <w:t>DOCTORAL SCHOOL</w:t>
      </w:r>
      <w:r w:rsidR="001023CE" w:rsidRPr="008F00C9">
        <w:rPr>
          <w:rFonts w:ascii="Times New Roman" w:hAnsi="Times New Roman" w:cs="Times New Roman"/>
          <w:b/>
          <w:sz w:val="24"/>
          <w:szCs w:val="26"/>
        </w:rPr>
        <w:t xml:space="preserve"> </w:t>
      </w:r>
      <w:r w:rsidRPr="008F00C9">
        <w:rPr>
          <w:rFonts w:ascii="Times New Roman" w:hAnsi="Times New Roman" w:cs="Times New Roman"/>
          <w:b/>
          <w:i/>
          <w:sz w:val="24"/>
          <w:szCs w:val="26"/>
        </w:rPr>
        <w:t>ECONOMIC SCIENCES</w:t>
      </w:r>
      <w:r w:rsidR="001023CE" w:rsidRPr="008F00C9">
        <w:rPr>
          <w:rFonts w:ascii="Times New Roman" w:hAnsi="Times New Roman" w:cs="Times New Roman"/>
          <w:b/>
          <w:i/>
          <w:sz w:val="24"/>
          <w:szCs w:val="26"/>
        </w:rPr>
        <w:t xml:space="preserve"> </w:t>
      </w:r>
      <w:r w:rsidRPr="008F00C9">
        <w:rPr>
          <w:rFonts w:ascii="Times New Roman" w:hAnsi="Times New Roman" w:cs="Times New Roman"/>
          <w:b/>
          <w:i/>
          <w:sz w:val="24"/>
          <w:szCs w:val="26"/>
        </w:rPr>
        <w:t>AND BUSINESS ADMINISTRATION</w:t>
      </w:r>
    </w:p>
    <w:p w:rsidR="001023CE" w:rsidRPr="008F00C9" w:rsidRDefault="003D271A" w:rsidP="001023CE">
      <w:pPr>
        <w:jc w:val="center"/>
        <w:rPr>
          <w:rFonts w:ascii="Times New Roman" w:hAnsi="Times New Roman" w:cs="Times New Roman"/>
          <w:b/>
          <w:sz w:val="24"/>
          <w:szCs w:val="24"/>
        </w:rPr>
      </w:pPr>
      <w:r w:rsidRPr="008F00C9">
        <w:rPr>
          <w:rFonts w:ascii="Times New Roman" w:hAnsi="Times New Roman" w:cs="Times New Roman"/>
          <w:b/>
          <w:sz w:val="24"/>
          <w:szCs w:val="24"/>
        </w:rPr>
        <w:t>DOMANIN:</w:t>
      </w:r>
      <w:r w:rsidR="001023CE" w:rsidRPr="008F00C9">
        <w:rPr>
          <w:rFonts w:ascii="Times New Roman" w:hAnsi="Times New Roman" w:cs="Times New Roman"/>
          <w:b/>
          <w:sz w:val="24"/>
          <w:szCs w:val="24"/>
        </w:rPr>
        <w:t xml:space="preserve"> </w:t>
      </w:r>
      <w:r w:rsidRPr="008F00C9">
        <w:rPr>
          <w:rFonts w:ascii="Times New Roman" w:hAnsi="Times New Roman" w:cs="Times New Roman"/>
          <w:b/>
          <w:sz w:val="24"/>
          <w:szCs w:val="24"/>
        </w:rPr>
        <w:t>FINANCE</w:t>
      </w:r>
    </w:p>
    <w:p w:rsidR="001023CE" w:rsidRPr="008F00C9" w:rsidRDefault="001023CE" w:rsidP="001023CE">
      <w:pPr>
        <w:rPr>
          <w:rFonts w:ascii="Times New Roman" w:hAnsi="Times New Roman" w:cs="Times New Roman"/>
          <w:sz w:val="24"/>
          <w:szCs w:val="24"/>
        </w:rPr>
      </w:pPr>
    </w:p>
    <w:p w:rsidR="001023CE" w:rsidRPr="008F00C9" w:rsidRDefault="001023CE" w:rsidP="001023CE">
      <w:pPr>
        <w:rPr>
          <w:rFonts w:ascii="Times New Roman" w:hAnsi="Times New Roman" w:cs="Times New Roman"/>
          <w:sz w:val="24"/>
          <w:szCs w:val="24"/>
        </w:rPr>
      </w:pPr>
    </w:p>
    <w:p w:rsidR="001023CE" w:rsidRPr="008F00C9" w:rsidRDefault="001023CE" w:rsidP="001023CE">
      <w:pPr>
        <w:rPr>
          <w:rFonts w:ascii="Times New Roman" w:hAnsi="Times New Roman" w:cs="Times New Roman"/>
          <w:sz w:val="24"/>
          <w:szCs w:val="24"/>
        </w:rPr>
      </w:pPr>
    </w:p>
    <w:p w:rsidR="001023CE" w:rsidRPr="008F00C9" w:rsidRDefault="001023CE" w:rsidP="001023CE">
      <w:pPr>
        <w:rPr>
          <w:rFonts w:ascii="Times New Roman" w:hAnsi="Times New Roman" w:cs="Times New Roman"/>
          <w:sz w:val="24"/>
          <w:szCs w:val="24"/>
        </w:rPr>
      </w:pPr>
    </w:p>
    <w:p w:rsidR="001023CE" w:rsidRPr="008F00C9" w:rsidRDefault="001023CE" w:rsidP="001023CE">
      <w:pPr>
        <w:rPr>
          <w:rFonts w:ascii="Times New Roman" w:hAnsi="Times New Roman" w:cs="Times New Roman"/>
          <w:sz w:val="24"/>
          <w:szCs w:val="24"/>
        </w:rPr>
      </w:pPr>
    </w:p>
    <w:p w:rsidR="001023CE" w:rsidRPr="008F00C9" w:rsidRDefault="00302CEF" w:rsidP="00D45338">
      <w:pPr>
        <w:pStyle w:val="Title"/>
        <w:spacing w:line="360" w:lineRule="auto"/>
        <w:jc w:val="center"/>
        <w:rPr>
          <w:b/>
          <w:sz w:val="32"/>
        </w:rPr>
      </w:pPr>
      <w:r w:rsidRPr="008F00C9">
        <w:rPr>
          <w:b/>
          <w:sz w:val="32"/>
        </w:rPr>
        <w:t>ROMANIAN MUTUAL FUNDS AS PORTFOLIO INVESTMENTS AND FUND RAISING ALTERNATIVES</w:t>
      </w:r>
    </w:p>
    <w:p w:rsidR="00D45338" w:rsidRPr="008F00C9" w:rsidRDefault="00D45338" w:rsidP="00D45338"/>
    <w:p w:rsidR="001023CE" w:rsidRPr="008F00C9" w:rsidRDefault="001023CE" w:rsidP="001023CE">
      <w:pPr>
        <w:jc w:val="center"/>
        <w:rPr>
          <w:rFonts w:ascii="Times New Roman" w:hAnsi="Times New Roman" w:cs="Times New Roman"/>
          <w:sz w:val="24"/>
          <w:szCs w:val="24"/>
        </w:rPr>
      </w:pPr>
    </w:p>
    <w:p w:rsidR="001023CE" w:rsidRPr="008F00C9" w:rsidRDefault="00302CEF" w:rsidP="00676F55">
      <w:pPr>
        <w:jc w:val="center"/>
        <w:rPr>
          <w:rFonts w:ascii="Times New Roman" w:hAnsi="Times New Roman" w:cs="Times New Roman"/>
          <w:b/>
          <w:sz w:val="32"/>
          <w:szCs w:val="24"/>
        </w:rPr>
      </w:pPr>
      <w:r w:rsidRPr="008F00C9">
        <w:rPr>
          <w:rFonts w:ascii="Times New Roman" w:hAnsi="Times New Roman" w:cs="Times New Roman"/>
          <w:b/>
          <w:sz w:val="32"/>
          <w:szCs w:val="24"/>
        </w:rPr>
        <w:t>SUMMARY</w:t>
      </w:r>
    </w:p>
    <w:p w:rsidR="001023CE" w:rsidRPr="008F00C9" w:rsidRDefault="001023CE" w:rsidP="001023CE">
      <w:pPr>
        <w:rPr>
          <w:rFonts w:ascii="Times New Roman" w:hAnsi="Times New Roman" w:cs="Times New Roman"/>
          <w:sz w:val="24"/>
          <w:szCs w:val="24"/>
        </w:rPr>
      </w:pPr>
    </w:p>
    <w:p w:rsidR="001023CE" w:rsidRPr="008F00C9" w:rsidRDefault="001023CE" w:rsidP="001023CE">
      <w:pPr>
        <w:rPr>
          <w:rFonts w:ascii="Times New Roman" w:hAnsi="Times New Roman" w:cs="Times New Roman"/>
          <w:sz w:val="24"/>
          <w:szCs w:val="24"/>
        </w:rPr>
      </w:pPr>
    </w:p>
    <w:p w:rsidR="001023CE" w:rsidRPr="008F00C9" w:rsidRDefault="00302CEF" w:rsidP="001023CE">
      <w:pPr>
        <w:pStyle w:val="NoSpacing"/>
        <w:spacing w:after="240"/>
        <w:ind w:left="-3796" w:firstLine="3796"/>
        <w:rPr>
          <w:rFonts w:ascii="Times New Roman" w:hAnsi="Times New Roman" w:cs="Times New Roman"/>
          <w:b/>
          <w:sz w:val="26"/>
          <w:szCs w:val="26"/>
        </w:rPr>
      </w:pPr>
      <w:r w:rsidRPr="008F00C9">
        <w:rPr>
          <w:rFonts w:ascii="Times New Roman" w:hAnsi="Times New Roman" w:cs="Times New Roman"/>
          <w:b/>
          <w:sz w:val="26"/>
          <w:szCs w:val="26"/>
        </w:rPr>
        <w:t>Scientific coordinator</w:t>
      </w:r>
      <w:r w:rsidR="001023CE" w:rsidRPr="008F00C9">
        <w:rPr>
          <w:rFonts w:ascii="Times New Roman" w:hAnsi="Times New Roman" w:cs="Times New Roman"/>
          <w:b/>
          <w:sz w:val="26"/>
          <w:szCs w:val="26"/>
        </w:rPr>
        <w:t>:</w:t>
      </w:r>
    </w:p>
    <w:p w:rsidR="001023CE" w:rsidRPr="008F00C9" w:rsidRDefault="00302CEF" w:rsidP="001023CE">
      <w:pPr>
        <w:pStyle w:val="NoSpacing"/>
        <w:spacing w:after="240"/>
        <w:ind w:left="-3796" w:firstLine="3796"/>
        <w:rPr>
          <w:rFonts w:ascii="Times New Roman" w:hAnsi="Times New Roman" w:cs="Times New Roman"/>
          <w:b/>
          <w:sz w:val="26"/>
          <w:szCs w:val="26"/>
        </w:rPr>
      </w:pPr>
      <w:r w:rsidRPr="008F00C9">
        <w:rPr>
          <w:rFonts w:ascii="Times New Roman" w:hAnsi="Times New Roman" w:cs="Times New Roman"/>
          <w:b/>
          <w:sz w:val="26"/>
          <w:szCs w:val="26"/>
        </w:rPr>
        <w:t>PHD Professor</w:t>
      </w:r>
      <w:r w:rsidR="001023CE" w:rsidRPr="008F00C9">
        <w:rPr>
          <w:rFonts w:ascii="Times New Roman" w:hAnsi="Times New Roman" w:cs="Times New Roman"/>
          <w:b/>
          <w:sz w:val="26"/>
          <w:szCs w:val="26"/>
        </w:rPr>
        <w:t xml:space="preserve"> Ioan NISTOR</w:t>
      </w:r>
    </w:p>
    <w:p w:rsidR="001023CE" w:rsidRPr="008F00C9" w:rsidRDefault="001023CE" w:rsidP="001023CE">
      <w:pPr>
        <w:pStyle w:val="NoSpacing"/>
        <w:spacing w:after="240"/>
        <w:ind w:left="-3796" w:firstLine="3796"/>
        <w:jc w:val="center"/>
        <w:rPr>
          <w:rFonts w:ascii="Times New Roman" w:hAnsi="Times New Roman" w:cs="Times New Roman"/>
        </w:rPr>
      </w:pPr>
    </w:p>
    <w:p w:rsidR="001023CE" w:rsidRPr="008F00C9" w:rsidRDefault="00302CEF" w:rsidP="001023CE">
      <w:pPr>
        <w:pStyle w:val="NoSpacing"/>
        <w:spacing w:after="240"/>
        <w:ind w:left="-196" w:firstLine="3796"/>
        <w:jc w:val="right"/>
        <w:rPr>
          <w:rFonts w:ascii="Times New Roman" w:hAnsi="Times New Roman" w:cs="Times New Roman"/>
          <w:b/>
          <w:sz w:val="26"/>
          <w:szCs w:val="26"/>
        </w:rPr>
      </w:pPr>
      <w:r w:rsidRPr="008F00C9">
        <w:rPr>
          <w:rFonts w:ascii="Times New Roman" w:hAnsi="Times New Roman" w:cs="Times New Roman"/>
          <w:b/>
          <w:sz w:val="26"/>
          <w:szCs w:val="26"/>
        </w:rPr>
        <w:t>PhD. Student</w:t>
      </w:r>
      <w:r w:rsidR="001023CE" w:rsidRPr="008F00C9">
        <w:rPr>
          <w:rFonts w:ascii="Times New Roman" w:hAnsi="Times New Roman" w:cs="Times New Roman"/>
          <w:b/>
          <w:sz w:val="26"/>
          <w:szCs w:val="26"/>
        </w:rPr>
        <w:t>:</w:t>
      </w:r>
    </w:p>
    <w:p w:rsidR="001023CE" w:rsidRPr="008F00C9" w:rsidRDefault="001023CE" w:rsidP="001023CE">
      <w:pPr>
        <w:spacing w:after="240"/>
        <w:jc w:val="right"/>
        <w:rPr>
          <w:rFonts w:ascii="Times New Roman" w:hAnsi="Times New Roman" w:cs="Times New Roman"/>
          <w:b/>
          <w:sz w:val="26"/>
          <w:szCs w:val="26"/>
        </w:rPr>
      </w:pPr>
      <w:r w:rsidRPr="008F00C9">
        <w:rPr>
          <w:rFonts w:ascii="Times New Roman" w:hAnsi="Times New Roman" w:cs="Times New Roman"/>
          <w:sz w:val="26"/>
          <w:szCs w:val="26"/>
        </w:rPr>
        <w:tab/>
      </w:r>
      <w:r w:rsidRPr="008F00C9">
        <w:rPr>
          <w:rFonts w:ascii="Times New Roman" w:hAnsi="Times New Roman" w:cs="Times New Roman"/>
          <w:b/>
          <w:sz w:val="26"/>
          <w:szCs w:val="26"/>
        </w:rPr>
        <w:t>Ioana RADU (cas. POP-RADU)</w:t>
      </w:r>
    </w:p>
    <w:p w:rsidR="001023CE" w:rsidRPr="008F00C9" w:rsidRDefault="001023CE" w:rsidP="001023CE">
      <w:pPr>
        <w:spacing w:after="240"/>
        <w:jc w:val="right"/>
        <w:rPr>
          <w:rFonts w:ascii="Times New Roman" w:hAnsi="Times New Roman" w:cs="Times New Roman"/>
          <w:b/>
          <w:sz w:val="26"/>
          <w:szCs w:val="26"/>
        </w:rPr>
      </w:pPr>
    </w:p>
    <w:p w:rsidR="001023CE" w:rsidRPr="008F00C9" w:rsidRDefault="001023CE" w:rsidP="001023CE">
      <w:pPr>
        <w:spacing w:after="0" w:line="240" w:lineRule="auto"/>
        <w:jc w:val="center"/>
        <w:rPr>
          <w:rFonts w:ascii="Times New Roman" w:hAnsi="Times New Roman" w:cs="Times New Roman"/>
          <w:b/>
          <w:sz w:val="26"/>
          <w:szCs w:val="26"/>
        </w:rPr>
      </w:pPr>
      <w:r w:rsidRPr="008F00C9">
        <w:rPr>
          <w:rFonts w:ascii="Times New Roman" w:hAnsi="Times New Roman" w:cs="Times New Roman"/>
          <w:b/>
          <w:sz w:val="26"/>
          <w:szCs w:val="26"/>
        </w:rPr>
        <w:t>Cluj – Napoca</w:t>
      </w:r>
    </w:p>
    <w:p w:rsidR="00D45338" w:rsidRPr="008F00C9" w:rsidRDefault="001023CE" w:rsidP="001023CE">
      <w:pPr>
        <w:spacing w:after="0" w:line="240" w:lineRule="auto"/>
        <w:jc w:val="center"/>
        <w:rPr>
          <w:rFonts w:ascii="Times New Roman" w:hAnsi="Times New Roman" w:cs="Times New Roman"/>
          <w:b/>
          <w:sz w:val="26"/>
          <w:szCs w:val="26"/>
        </w:rPr>
      </w:pPr>
      <w:r w:rsidRPr="008F00C9">
        <w:rPr>
          <w:rFonts w:ascii="Times New Roman" w:hAnsi="Times New Roman" w:cs="Times New Roman"/>
          <w:b/>
          <w:sz w:val="26"/>
          <w:szCs w:val="26"/>
        </w:rPr>
        <w:t>201</w:t>
      </w:r>
      <w:r w:rsidR="00CE20D2" w:rsidRPr="008F00C9">
        <w:rPr>
          <w:rFonts w:ascii="Times New Roman" w:hAnsi="Times New Roman" w:cs="Times New Roman"/>
          <w:b/>
          <w:sz w:val="26"/>
          <w:szCs w:val="26"/>
        </w:rPr>
        <w:t>6</w:t>
      </w:r>
    </w:p>
    <w:p w:rsidR="005E798E" w:rsidRPr="008F00C9" w:rsidRDefault="00D45338">
      <w:pPr>
        <w:rPr>
          <w:rFonts w:ascii="Times New Roman" w:hAnsi="Times New Roman" w:cs="Times New Roman"/>
          <w:b/>
          <w:sz w:val="26"/>
          <w:szCs w:val="26"/>
        </w:rPr>
        <w:sectPr w:rsidR="005E798E" w:rsidRPr="008F00C9" w:rsidSect="0025265C">
          <w:headerReference w:type="default" r:id="rId8"/>
          <w:footerReference w:type="even" r:id="rId9"/>
          <w:pgSz w:w="12240" w:h="15840"/>
          <w:pgMar w:top="1440" w:right="1440" w:bottom="709" w:left="1440" w:header="283" w:footer="283" w:gutter="0"/>
          <w:cols w:space="720"/>
          <w:docGrid w:linePitch="360"/>
        </w:sectPr>
      </w:pPr>
      <w:r w:rsidRPr="008F00C9">
        <w:rPr>
          <w:rFonts w:ascii="Times New Roman" w:hAnsi="Times New Roman" w:cs="Times New Roman"/>
          <w:b/>
          <w:sz w:val="26"/>
          <w:szCs w:val="26"/>
        </w:rPr>
        <w:br w:type="page"/>
      </w:r>
    </w:p>
    <w:p w:rsidR="00D45338" w:rsidRPr="008F00C9" w:rsidRDefault="00D45338">
      <w:pPr>
        <w:rPr>
          <w:rFonts w:ascii="Times New Roman" w:hAnsi="Times New Roman" w:cs="Times New Roman"/>
          <w:b/>
          <w:sz w:val="26"/>
          <w:szCs w:val="26"/>
        </w:rPr>
      </w:pPr>
    </w:p>
    <w:p w:rsidR="001023CE" w:rsidRPr="008F00C9" w:rsidRDefault="001023CE" w:rsidP="001023CE">
      <w:pPr>
        <w:spacing w:after="0" w:line="240" w:lineRule="auto"/>
        <w:jc w:val="center"/>
        <w:rPr>
          <w:rFonts w:ascii="Times New Roman" w:hAnsi="Times New Roman" w:cs="Times New Roman"/>
          <w:sz w:val="24"/>
          <w:szCs w:val="24"/>
        </w:rPr>
      </w:pPr>
    </w:p>
    <w:sdt>
      <w:sdtPr>
        <w:rPr>
          <w:rFonts w:asciiTheme="minorHAnsi" w:eastAsiaTheme="minorEastAsia" w:hAnsiTheme="minorHAnsi" w:cstheme="minorBidi"/>
          <w:b w:val="0"/>
          <w:bCs w:val="0"/>
          <w:color w:val="auto"/>
          <w:sz w:val="22"/>
          <w:szCs w:val="22"/>
        </w:rPr>
        <w:id w:val="11076649"/>
        <w:docPartObj>
          <w:docPartGallery w:val="Table of Contents"/>
          <w:docPartUnique/>
        </w:docPartObj>
      </w:sdtPr>
      <w:sdtContent>
        <w:p w:rsidR="00CE20D2" w:rsidRPr="008F00C9" w:rsidRDefault="003D271A">
          <w:pPr>
            <w:pStyle w:val="TOCHeading"/>
          </w:pPr>
          <w:r w:rsidRPr="008F00C9">
            <w:t>Thesis summary</w:t>
          </w:r>
        </w:p>
        <w:p w:rsidR="00CE20D2" w:rsidRPr="008F00C9" w:rsidRDefault="00CE20D2" w:rsidP="00CE20D2"/>
        <w:p w:rsidR="00116B33" w:rsidRDefault="004B4616">
          <w:pPr>
            <w:pStyle w:val="TOC1"/>
            <w:tabs>
              <w:tab w:val="right" w:leader="dot" w:pos="9350"/>
            </w:tabs>
            <w:rPr>
              <w:rFonts w:asciiTheme="minorHAnsi" w:hAnsiTheme="minorHAnsi"/>
              <w:color w:val="auto"/>
              <w:sz w:val="22"/>
              <w:lang w:val="en-US"/>
            </w:rPr>
          </w:pPr>
          <w:r w:rsidRPr="008F00C9">
            <w:rPr>
              <w:lang w:val="en-US"/>
            </w:rPr>
            <w:fldChar w:fldCharType="begin"/>
          </w:r>
          <w:r w:rsidR="005E3017" w:rsidRPr="008F00C9">
            <w:rPr>
              <w:lang w:val="en-US"/>
            </w:rPr>
            <w:instrText xml:space="preserve"> TOC \o "1-3" \h \z \u </w:instrText>
          </w:r>
          <w:r w:rsidRPr="008F00C9">
            <w:rPr>
              <w:lang w:val="en-US"/>
            </w:rPr>
            <w:fldChar w:fldCharType="separate"/>
          </w:r>
          <w:hyperlink w:anchor="_Toc452412560" w:history="1">
            <w:r w:rsidR="00116B33" w:rsidRPr="00435AE2">
              <w:rPr>
                <w:rStyle w:val="Hyperlink"/>
              </w:rPr>
              <w:t>TABLE OF CONTENTS</w:t>
            </w:r>
            <w:r w:rsidR="00116B33">
              <w:rPr>
                <w:webHidden/>
              </w:rPr>
              <w:tab/>
            </w:r>
            <w:r w:rsidR="00116B33">
              <w:rPr>
                <w:webHidden/>
              </w:rPr>
              <w:fldChar w:fldCharType="begin"/>
            </w:r>
            <w:r w:rsidR="00116B33">
              <w:rPr>
                <w:webHidden/>
              </w:rPr>
              <w:instrText xml:space="preserve"> PAGEREF _Toc452412560 \h </w:instrText>
            </w:r>
            <w:r w:rsidR="00116B33">
              <w:rPr>
                <w:webHidden/>
              </w:rPr>
            </w:r>
            <w:r w:rsidR="00116B33">
              <w:rPr>
                <w:webHidden/>
              </w:rPr>
              <w:fldChar w:fldCharType="separate"/>
            </w:r>
            <w:r w:rsidR="00116B33">
              <w:rPr>
                <w:webHidden/>
              </w:rPr>
              <w:t>3</w:t>
            </w:r>
            <w:r w:rsidR="00116B33">
              <w:rPr>
                <w:webHidden/>
              </w:rPr>
              <w:fldChar w:fldCharType="end"/>
            </w:r>
          </w:hyperlink>
        </w:p>
        <w:p w:rsidR="00116B33" w:rsidRDefault="00116B33">
          <w:pPr>
            <w:pStyle w:val="TOC1"/>
            <w:tabs>
              <w:tab w:val="right" w:leader="dot" w:pos="9350"/>
            </w:tabs>
            <w:rPr>
              <w:rFonts w:asciiTheme="minorHAnsi" w:hAnsiTheme="minorHAnsi"/>
              <w:color w:val="auto"/>
              <w:sz w:val="22"/>
              <w:lang w:val="en-US"/>
            </w:rPr>
          </w:pPr>
          <w:hyperlink w:anchor="_Toc452412561" w:history="1">
            <w:r w:rsidRPr="00435AE2">
              <w:rPr>
                <w:rStyle w:val="Hyperlink"/>
              </w:rPr>
              <w:t>KEYWORDS</w:t>
            </w:r>
            <w:r>
              <w:rPr>
                <w:webHidden/>
              </w:rPr>
              <w:tab/>
            </w:r>
            <w:r>
              <w:rPr>
                <w:webHidden/>
              </w:rPr>
              <w:fldChar w:fldCharType="begin"/>
            </w:r>
            <w:r>
              <w:rPr>
                <w:webHidden/>
              </w:rPr>
              <w:instrText xml:space="preserve"> PAGEREF _Toc452412561 \h </w:instrText>
            </w:r>
            <w:r>
              <w:rPr>
                <w:webHidden/>
              </w:rPr>
            </w:r>
            <w:r>
              <w:rPr>
                <w:webHidden/>
              </w:rPr>
              <w:fldChar w:fldCharType="separate"/>
            </w:r>
            <w:r>
              <w:rPr>
                <w:webHidden/>
              </w:rPr>
              <w:t>3</w:t>
            </w:r>
            <w:r>
              <w:rPr>
                <w:webHidden/>
              </w:rPr>
              <w:fldChar w:fldCharType="end"/>
            </w:r>
          </w:hyperlink>
        </w:p>
        <w:p w:rsidR="00116B33" w:rsidRDefault="00116B33">
          <w:pPr>
            <w:pStyle w:val="TOC1"/>
            <w:tabs>
              <w:tab w:val="right" w:leader="dot" w:pos="9350"/>
            </w:tabs>
            <w:rPr>
              <w:rFonts w:asciiTheme="minorHAnsi" w:hAnsiTheme="minorHAnsi"/>
              <w:color w:val="auto"/>
              <w:sz w:val="22"/>
              <w:lang w:val="en-US"/>
            </w:rPr>
          </w:pPr>
          <w:hyperlink w:anchor="_Toc452412562" w:history="1">
            <w:r w:rsidRPr="00435AE2">
              <w:rPr>
                <w:rStyle w:val="Hyperlink"/>
              </w:rPr>
              <w:t>MAIN OBJECTIVES OF THE STUDY</w:t>
            </w:r>
            <w:r>
              <w:rPr>
                <w:webHidden/>
              </w:rPr>
              <w:tab/>
            </w:r>
            <w:r>
              <w:rPr>
                <w:webHidden/>
              </w:rPr>
              <w:fldChar w:fldCharType="begin"/>
            </w:r>
            <w:r>
              <w:rPr>
                <w:webHidden/>
              </w:rPr>
              <w:instrText xml:space="preserve"> PAGEREF _Toc452412562 \h </w:instrText>
            </w:r>
            <w:r>
              <w:rPr>
                <w:webHidden/>
              </w:rPr>
            </w:r>
            <w:r>
              <w:rPr>
                <w:webHidden/>
              </w:rPr>
              <w:fldChar w:fldCharType="separate"/>
            </w:r>
            <w:r>
              <w:rPr>
                <w:webHidden/>
              </w:rPr>
              <w:t>4</w:t>
            </w:r>
            <w:r>
              <w:rPr>
                <w:webHidden/>
              </w:rPr>
              <w:fldChar w:fldCharType="end"/>
            </w:r>
          </w:hyperlink>
        </w:p>
        <w:p w:rsidR="00116B33" w:rsidRDefault="00116B33">
          <w:pPr>
            <w:pStyle w:val="TOC1"/>
            <w:tabs>
              <w:tab w:val="right" w:leader="dot" w:pos="9350"/>
            </w:tabs>
            <w:rPr>
              <w:rFonts w:asciiTheme="minorHAnsi" w:hAnsiTheme="minorHAnsi"/>
              <w:color w:val="auto"/>
              <w:sz w:val="22"/>
              <w:lang w:val="en-US"/>
            </w:rPr>
          </w:pPr>
          <w:hyperlink w:anchor="_Toc452412563" w:history="1">
            <w:r w:rsidRPr="00435AE2">
              <w:rPr>
                <w:rStyle w:val="Hyperlink"/>
              </w:rPr>
              <w:t>THESIS CONTENT - MAIN CONTRIBUTIONS</w:t>
            </w:r>
            <w:r>
              <w:rPr>
                <w:webHidden/>
              </w:rPr>
              <w:tab/>
            </w:r>
            <w:r>
              <w:rPr>
                <w:webHidden/>
              </w:rPr>
              <w:fldChar w:fldCharType="begin"/>
            </w:r>
            <w:r>
              <w:rPr>
                <w:webHidden/>
              </w:rPr>
              <w:instrText xml:space="preserve"> PAGEREF _Toc452412563 \h </w:instrText>
            </w:r>
            <w:r>
              <w:rPr>
                <w:webHidden/>
              </w:rPr>
            </w:r>
            <w:r>
              <w:rPr>
                <w:webHidden/>
              </w:rPr>
              <w:fldChar w:fldCharType="separate"/>
            </w:r>
            <w:r>
              <w:rPr>
                <w:webHidden/>
              </w:rPr>
              <w:t>5</w:t>
            </w:r>
            <w:r>
              <w:rPr>
                <w:webHidden/>
              </w:rPr>
              <w:fldChar w:fldCharType="end"/>
            </w:r>
          </w:hyperlink>
        </w:p>
        <w:p w:rsidR="00116B33" w:rsidRDefault="00116B33">
          <w:pPr>
            <w:pStyle w:val="TOC2"/>
            <w:rPr>
              <w:rFonts w:asciiTheme="minorHAnsi" w:hAnsiTheme="minorHAnsi"/>
              <w:noProof/>
              <w:color w:val="auto"/>
              <w:sz w:val="22"/>
            </w:rPr>
          </w:pPr>
          <w:hyperlink w:anchor="_Toc452412564" w:history="1">
            <w:r w:rsidRPr="00435AE2">
              <w:rPr>
                <w:rStyle w:val="Hyperlink"/>
                <w:i/>
                <w:noProof/>
              </w:rPr>
              <w:t>Chapter 1. Main aspects of investment funds industry development</w:t>
            </w:r>
            <w:r>
              <w:rPr>
                <w:noProof/>
                <w:webHidden/>
              </w:rPr>
              <w:tab/>
            </w:r>
            <w:r>
              <w:rPr>
                <w:noProof/>
                <w:webHidden/>
              </w:rPr>
              <w:fldChar w:fldCharType="begin"/>
            </w:r>
            <w:r>
              <w:rPr>
                <w:noProof/>
                <w:webHidden/>
              </w:rPr>
              <w:instrText xml:space="preserve"> PAGEREF _Toc452412564 \h </w:instrText>
            </w:r>
            <w:r>
              <w:rPr>
                <w:noProof/>
                <w:webHidden/>
              </w:rPr>
            </w:r>
            <w:r>
              <w:rPr>
                <w:noProof/>
                <w:webHidden/>
              </w:rPr>
              <w:fldChar w:fldCharType="separate"/>
            </w:r>
            <w:r>
              <w:rPr>
                <w:noProof/>
                <w:webHidden/>
              </w:rPr>
              <w:t>5</w:t>
            </w:r>
            <w:r>
              <w:rPr>
                <w:noProof/>
                <w:webHidden/>
              </w:rPr>
              <w:fldChar w:fldCharType="end"/>
            </w:r>
          </w:hyperlink>
        </w:p>
        <w:p w:rsidR="00116B33" w:rsidRDefault="00116B33">
          <w:pPr>
            <w:pStyle w:val="TOC2"/>
            <w:rPr>
              <w:rFonts w:asciiTheme="minorHAnsi" w:hAnsiTheme="minorHAnsi"/>
              <w:noProof/>
              <w:color w:val="auto"/>
              <w:sz w:val="22"/>
            </w:rPr>
          </w:pPr>
          <w:hyperlink w:anchor="_Toc452412565" w:history="1">
            <w:r w:rsidRPr="00435AE2">
              <w:rPr>
                <w:rStyle w:val="Hyperlink"/>
                <w:i/>
                <w:noProof/>
              </w:rPr>
              <w:t>Chapter 2. International context of Romanian Investment fund market</w:t>
            </w:r>
            <w:r>
              <w:rPr>
                <w:noProof/>
                <w:webHidden/>
              </w:rPr>
              <w:tab/>
            </w:r>
            <w:r>
              <w:rPr>
                <w:noProof/>
                <w:webHidden/>
              </w:rPr>
              <w:fldChar w:fldCharType="begin"/>
            </w:r>
            <w:r>
              <w:rPr>
                <w:noProof/>
                <w:webHidden/>
              </w:rPr>
              <w:instrText xml:space="preserve"> PAGEREF _Toc452412565 \h </w:instrText>
            </w:r>
            <w:r>
              <w:rPr>
                <w:noProof/>
                <w:webHidden/>
              </w:rPr>
            </w:r>
            <w:r>
              <w:rPr>
                <w:noProof/>
                <w:webHidden/>
              </w:rPr>
              <w:fldChar w:fldCharType="separate"/>
            </w:r>
            <w:r>
              <w:rPr>
                <w:noProof/>
                <w:webHidden/>
              </w:rPr>
              <w:t>9</w:t>
            </w:r>
            <w:r>
              <w:rPr>
                <w:noProof/>
                <w:webHidden/>
              </w:rPr>
              <w:fldChar w:fldCharType="end"/>
            </w:r>
          </w:hyperlink>
        </w:p>
        <w:p w:rsidR="00116B33" w:rsidRDefault="00116B33">
          <w:pPr>
            <w:pStyle w:val="TOC2"/>
            <w:rPr>
              <w:rFonts w:asciiTheme="minorHAnsi" w:hAnsiTheme="minorHAnsi"/>
              <w:noProof/>
              <w:color w:val="auto"/>
              <w:sz w:val="22"/>
            </w:rPr>
          </w:pPr>
          <w:hyperlink w:anchor="_Toc452412566" w:history="1">
            <w:r w:rsidRPr="00435AE2">
              <w:rPr>
                <w:rStyle w:val="Hyperlink"/>
                <w:i/>
                <w:noProof/>
              </w:rPr>
              <w:t>Chapter 3. Analysis of Romanian mutual funds performance</w:t>
            </w:r>
            <w:r>
              <w:rPr>
                <w:noProof/>
                <w:webHidden/>
              </w:rPr>
              <w:tab/>
            </w:r>
            <w:r>
              <w:rPr>
                <w:noProof/>
                <w:webHidden/>
              </w:rPr>
              <w:fldChar w:fldCharType="begin"/>
            </w:r>
            <w:r>
              <w:rPr>
                <w:noProof/>
                <w:webHidden/>
              </w:rPr>
              <w:instrText xml:space="preserve"> PAGEREF _Toc452412566 \h </w:instrText>
            </w:r>
            <w:r>
              <w:rPr>
                <w:noProof/>
                <w:webHidden/>
              </w:rPr>
            </w:r>
            <w:r>
              <w:rPr>
                <w:noProof/>
                <w:webHidden/>
              </w:rPr>
              <w:fldChar w:fldCharType="separate"/>
            </w:r>
            <w:r>
              <w:rPr>
                <w:noProof/>
                <w:webHidden/>
              </w:rPr>
              <w:t>13</w:t>
            </w:r>
            <w:r>
              <w:rPr>
                <w:noProof/>
                <w:webHidden/>
              </w:rPr>
              <w:fldChar w:fldCharType="end"/>
            </w:r>
          </w:hyperlink>
        </w:p>
        <w:p w:rsidR="00116B33" w:rsidRDefault="00116B33">
          <w:pPr>
            <w:pStyle w:val="TOC2"/>
            <w:rPr>
              <w:rFonts w:asciiTheme="minorHAnsi" w:hAnsiTheme="minorHAnsi"/>
              <w:noProof/>
              <w:color w:val="auto"/>
              <w:sz w:val="22"/>
            </w:rPr>
          </w:pPr>
          <w:hyperlink w:anchor="_Toc452412567" w:history="1">
            <w:r w:rsidRPr="00435AE2">
              <w:rPr>
                <w:rStyle w:val="Hyperlink"/>
                <w:i/>
                <w:noProof/>
              </w:rPr>
              <w:t>Chapter 4. Financing alternatives ensured by mutual funds industry</w:t>
            </w:r>
            <w:r>
              <w:rPr>
                <w:noProof/>
                <w:webHidden/>
              </w:rPr>
              <w:tab/>
            </w:r>
            <w:r>
              <w:rPr>
                <w:noProof/>
                <w:webHidden/>
              </w:rPr>
              <w:fldChar w:fldCharType="begin"/>
            </w:r>
            <w:r>
              <w:rPr>
                <w:noProof/>
                <w:webHidden/>
              </w:rPr>
              <w:instrText xml:space="preserve"> PAGEREF _Toc452412567 \h </w:instrText>
            </w:r>
            <w:r>
              <w:rPr>
                <w:noProof/>
                <w:webHidden/>
              </w:rPr>
            </w:r>
            <w:r>
              <w:rPr>
                <w:noProof/>
                <w:webHidden/>
              </w:rPr>
              <w:fldChar w:fldCharType="separate"/>
            </w:r>
            <w:r>
              <w:rPr>
                <w:noProof/>
                <w:webHidden/>
              </w:rPr>
              <w:t>19</w:t>
            </w:r>
            <w:r>
              <w:rPr>
                <w:noProof/>
                <w:webHidden/>
              </w:rPr>
              <w:fldChar w:fldCharType="end"/>
            </w:r>
          </w:hyperlink>
        </w:p>
        <w:p w:rsidR="00116B33" w:rsidRDefault="00116B33">
          <w:pPr>
            <w:pStyle w:val="TOC2"/>
            <w:rPr>
              <w:rFonts w:asciiTheme="minorHAnsi" w:hAnsiTheme="minorHAnsi"/>
              <w:noProof/>
              <w:color w:val="auto"/>
              <w:sz w:val="22"/>
            </w:rPr>
          </w:pPr>
          <w:hyperlink w:anchor="_Toc452412568" w:history="1">
            <w:r w:rsidRPr="00435AE2">
              <w:rPr>
                <w:rStyle w:val="Hyperlink"/>
                <w:i/>
                <w:noProof/>
              </w:rPr>
              <w:t>Chapter 5. Empiric analysis of Romanian mutual funds performance valuation</w:t>
            </w:r>
            <w:r>
              <w:rPr>
                <w:noProof/>
                <w:webHidden/>
              </w:rPr>
              <w:tab/>
            </w:r>
            <w:r>
              <w:rPr>
                <w:noProof/>
                <w:webHidden/>
              </w:rPr>
              <w:fldChar w:fldCharType="begin"/>
            </w:r>
            <w:r>
              <w:rPr>
                <w:noProof/>
                <w:webHidden/>
              </w:rPr>
              <w:instrText xml:space="preserve"> PAGEREF _Toc452412568 \h </w:instrText>
            </w:r>
            <w:r>
              <w:rPr>
                <w:noProof/>
                <w:webHidden/>
              </w:rPr>
            </w:r>
            <w:r>
              <w:rPr>
                <w:noProof/>
                <w:webHidden/>
              </w:rPr>
              <w:fldChar w:fldCharType="separate"/>
            </w:r>
            <w:r>
              <w:rPr>
                <w:noProof/>
                <w:webHidden/>
              </w:rPr>
              <w:t>23</w:t>
            </w:r>
            <w:r>
              <w:rPr>
                <w:noProof/>
                <w:webHidden/>
              </w:rPr>
              <w:fldChar w:fldCharType="end"/>
            </w:r>
          </w:hyperlink>
        </w:p>
        <w:p w:rsidR="00116B33" w:rsidRDefault="00116B33">
          <w:pPr>
            <w:pStyle w:val="TOC1"/>
            <w:tabs>
              <w:tab w:val="right" w:leader="dot" w:pos="9350"/>
            </w:tabs>
            <w:rPr>
              <w:rFonts w:asciiTheme="minorHAnsi" w:hAnsiTheme="minorHAnsi"/>
              <w:color w:val="auto"/>
              <w:sz w:val="22"/>
              <w:lang w:val="en-US"/>
            </w:rPr>
          </w:pPr>
          <w:hyperlink w:anchor="_Toc452412569" w:history="1">
            <w:r w:rsidRPr="00435AE2">
              <w:rPr>
                <w:rStyle w:val="Hyperlink"/>
              </w:rPr>
              <w:t>FINAL REMARKS AND FUTURE RESEARCH PERSPECTIVES</w:t>
            </w:r>
            <w:r>
              <w:rPr>
                <w:webHidden/>
              </w:rPr>
              <w:tab/>
            </w:r>
            <w:r>
              <w:rPr>
                <w:webHidden/>
              </w:rPr>
              <w:fldChar w:fldCharType="begin"/>
            </w:r>
            <w:r>
              <w:rPr>
                <w:webHidden/>
              </w:rPr>
              <w:instrText xml:space="preserve"> PAGEREF _Toc452412569 \h </w:instrText>
            </w:r>
            <w:r>
              <w:rPr>
                <w:webHidden/>
              </w:rPr>
            </w:r>
            <w:r>
              <w:rPr>
                <w:webHidden/>
              </w:rPr>
              <w:fldChar w:fldCharType="separate"/>
            </w:r>
            <w:r>
              <w:rPr>
                <w:webHidden/>
              </w:rPr>
              <w:t>26</w:t>
            </w:r>
            <w:r>
              <w:rPr>
                <w:webHidden/>
              </w:rPr>
              <w:fldChar w:fldCharType="end"/>
            </w:r>
          </w:hyperlink>
        </w:p>
        <w:p w:rsidR="00116B33" w:rsidRDefault="00116B33">
          <w:pPr>
            <w:pStyle w:val="TOC1"/>
            <w:tabs>
              <w:tab w:val="right" w:leader="dot" w:pos="9350"/>
            </w:tabs>
            <w:rPr>
              <w:rFonts w:asciiTheme="minorHAnsi" w:hAnsiTheme="minorHAnsi"/>
              <w:color w:val="auto"/>
              <w:sz w:val="22"/>
              <w:lang w:val="en-US"/>
            </w:rPr>
          </w:pPr>
          <w:hyperlink w:anchor="_Toc452412570" w:history="1">
            <w:r w:rsidRPr="00435AE2">
              <w:rPr>
                <w:rStyle w:val="Hyperlink"/>
              </w:rPr>
              <w:t>BIBLIOGRAPHY OF CITED SOURCES</w:t>
            </w:r>
            <w:r>
              <w:rPr>
                <w:webHidden/>
              </w:rPr>
              <w:tab/>
            </w:r>
            <w:r>
              <w:rPr>
                <w:webHidden/>
              </w:rPr>
              <w:fldChar w:fldCharType="begin"/>
            </w:r>
            <w:r>
              <w:rPr>
                <w:webHidden/>
              </w:rPr>
              <w:instrText xml:space="preserve"> PAGEREF _Toc452412570 \h </w:instrText>
            </w:r>
            <w:r>
              <w:rPr>
                <w:webHidden/>
              </w:rPr>
            </w:r>
            <w:r>
              <w:rPr>
                <w:webHidden/>
              </w:rPr>
              <w:fldChar w:fldCharType="separate"/>
            </w:r>
            <w:r>
              <w:rPr>
                <w:webHidden/>
              </w:rPr>
              <w:t>27</w:t>
            </w:r>
            <w:r>
              <w:rPr>
                <w:webHidden/>
              </w:rPr>
              <w:fldChar w:fldCharType="end"/>
            </w:r>
          </w:hyperlink>
        </w:p>
        <w:p w:rsidR="00CE20D2" w:rsidRPr="008F00C9" w:rsidRDefault="004B4616">
          <w:r w:rsidRPr="008F00C9">
            <w:rPr>
              <w:rFonts w:asciiTheme="majorHAnsi" w:hAnsiTheme="majorHAnsi"/>
              <w:noProof/>
              <w:color w:val="17365D" w:themeColor="text2" w:themeShade="BF"/>
              <w:sz w:val="24"/>
            </w:rPr>
            <w:fldChar w:fldCharType="end"/>
          </w:r>
        </w:p>
      </w:sdtContent>
    </w:sdt>
    <w:p w:rsidR="00760D65" w:rsidRPr="008F00C9" w:rsidRDefault="00760D65">
      <w:r w:rsidRPr="008F00C9">
        <w:br w:type="page"/>
      </w:r>
    </w:p>
    <w:p w:rsidR="00CE20D2" w:rsidRPr="008F00C9" w:rsidRDefault="00FF39D0" w:rsidP="00CE20D2">
      <w:pPr>
        <w:pStyle w:val="Heading1"/>
      </w:pPr>
      <w:bookmarkStart w:id="0" w:name="_Toc452412560"/>
      <w:r w:rsidRPr="008F00C9">
        <w:lastRenderedPageBreak/>
        <w:t>TABLE OF CONTENTS</w:t>
      </w:r>
      <w:bookmarkEnd w:id="0"/>
    </w:p>
    <w:p w:rsidR="00CE20D2" w:rsidRPr="008F00C9" w:rsidRDefault="00CE20D2"/>
    <w:tbl>
      <w:tblPr>
        <w:tblStyle w:val="TableGrid"/>
        <w:tblW w:w="0" w:type="auto"/>
        <w:tblLook w:val="04A0"/>
      </w:tblPr>
      <w:tblGrid>
        <w:gridCol w:w="8755"/>
        <w:gridCol w:w="821"/>
      </w:tblGrid>
      <w:tr w:rsidR="00FF39D0" w:rsidRPr="008F00C9" w:rsidTr="00FF39D0">
        <w:tc>
          <w:tcPr>
            <w:tcW w:w="8755" w:type="dxa"/>
          </w:tcPr>
          <w:p w:rsidR="00FF39D0" w:rsidRPr="008F00C9" w:rsidRDefault="00FF39D0">
            <w:pPr>
              <w:rPr>
                <w:i/>
              </w:rPr>
            </w:pPr>
            <w:r w:rsidRPr="008F00C9">
              <w:rPr>
                <w:i/>
              </w:rPr>
              <w:t>Chapter</w:t>
            </w:r>
          </w:p>
          <w:p w:rsidR="001A1DEF" w:rsidRPr="008F00C9" w:rsidRDefault="001A1DEF">
            <w:pPr>
              <w:rPr>
                <w:i/>
              </w:rPr>
            </w:pPr>
          </w:p>
        </w:tc>
        <w:tc>
          <w:tcPr>
            <w:tcW w:w="821" w:type="dxa"/>
          </w:tcPr>
          <w:p w:rsidR="00FF39D0" w:rsidRPr="008F00C9" w:rsidRDefault="00FF39D0" w:rsidP="00A72AC7">
            <w:pPr>
              <w:jc w:val="center"/>
              <w:rPr>
                <w:i/>
              </w:rPr>
            </w:pPr>
            <w:r w:rsidRPr="008F00C9">
              <w:rPr>
                <w:i/>
              </w:rPr>
              <w:t>Page</w:t>
            </w:r>
          </w:p>
        </w:tc>
      </w:tr>
      <w:tr w:rsidR="00FF39D0" w:rsidRPr="008F00C9" w:rsidTr="00FF39D0">
        <w:tc>
          <w:tcPr>
            <w:tcW w:w="8755" w:type="dxa"/>
          </w:tcPr>
          <w:p w:rsidR="00FF39D0" w:rsidRPr="008F00C9" w:rsidRDefault="00FF39D0">
            <w:r w:rsidRPr="008F00C9">
              <w:t>Introduction</w:t>
            </w:r>
          </w:p>
        </w:tc>
        <w:tc>
          <w:tcPr>
            <w:tcW w:w="821" w:type="dxa"/>
          </w:tcPr>
          <w:p w:rsidR="00FF39D0" w:rsidRPr="008F00C9" w:rsidRDefault="00A72AC7" w:rsidP="00A72AC7">
            <w:pPr>
              <w:jc w:val="right"/>
            </w:pPr>
            <w:r w:rsidRPr="008F00C9">
              <w:t>1</w:t>
            </w:r>
          </w:p>
        </w:tc>
      </w:tr>
      <w:tr w:rsidR="00FF39D0" w:rsidRPr="008F00C9" w:rsidTr="00FF39D0">
        <w:tc>
          <w:tcPr>
            <w:tcW w:w="8755" w:type="dxa"/>
          </w:tcPr>
          <w:p w:rsidR="00FF39D0" w:rsidRPr="008F00C9" w:rsidRDefault="000A20F3" w:rsidP="0008647B">
            <w:r w:rsidRPr="008F00C9">
              <w:rPr>
                <w:b/>
              </w:rPr>
              <w:t>Chapter 1.</w:t>
            </w:r>
            <w:r w:rsidRPr="008F00C9">
              <w:t xml:space="preserve"> Main aspects of </w:t>
            </w:r>
            <w:r w:rsidR="0008647B" w:rsidRPr="008F00C9">
              <w:t>investment</w:t>
            </w:r>
            <w:r w:rsidRPr="008F00C9">
              <w:t xml:space="preserve"> funds industry development</w:t>
            </w:r>
          </w:p>
        </w:tc>
        <w:tc>
          <w:tcPr>
            <w:tcW w:w="821" w:type="dxa"/>
          </w:tcPr>
          <w:p w:rsidR="00FF39D0" w:rsidRPr="008F00C9" w:rsidRDefault="00A72AC7" w:rsidP="00A72AC7">
            <w:pPr>
              <w:jc w:val="right"/>
            </w:pPr>
            <w:r w:rsidRPr="008F00C9">
              <w:t>6</w:t>
            </w:r>
          </w:p>
        </w:tc>
      </w:tr>
      <w:tr w:rsidR="00FF39D0" w:rsidRPr="008F00C9" w:rsidTr="00FF39D0">
        <w:tc>
          <w:tcPr>
            <w:tcW w:w="8755" w:type="dxa"/>
          </w:tcPr>
          <w:p w:rsidR="00FF39D0" w:rsidRPr="008F00C9" w:rsidRDefault="000A20F3" w:rsidP="000A20F3">
            <w:pPr>
              <w:pStyle w:val="ListParagraph"/>
              <w:numPr>
                <w:ilvl w:val="1"/>
                <w:numId w:val="25"/>
              </w:numPr>
            </w:pPr>
            <w:r w:rsidRPr="008F00C9">
              <w:t>Delimitation of concepts</w:t>
            </w:r>
          </w:p>
        </w:tc>
        <w:tc>
          <w:tcPr>
            <w:tcW w:w="821" w:type="dxa"/>
          </w:tcPr>
          <w:p w:rsidR="00FF39D0" w:rsidRPr="008F00C9" w:rsidRDefault="00A72AC7" w:rsidP="00A72AC7">
            <w:pPr>
              <w:jc w:val="right"/>
            </w:pPr>
            <w:r w:rsidRPr="008F00C9">
              <w:t>6</w:t>
            </w:r>
          </w:p>
        </w:tc>
      </w:tr>
      <w:tr w:rsidR="00FF39D0" w:rsidRPr="008F00C9" w:rsidTr="00FF39D0">
        <w:tc>
          <w:tcPr>
            <w:tcW w:w="8755" w:type="dxa"/>
          </w:tcPr>
          <w:p w:rsidR="00FF39D0" w:rsidRPr="008F00C9" w:rsidRDefault="000A20F3" w:rsidP="000A20F3">
            <w:pPr>
              <w:pStyle w:val="ListParagraph"/>
              <w:numPr>
                <w:ilvl w:val="1"/>
                <w:numId w:val="25"/>
              </w:numPr>
            </w:pPr>
            <w:r w:rsidRPr="008F00C9">
              <w:t>Theoretical aspects of mutual funds market</w:t>
            </w:r>
          </w:p>
        </w:tc>
        <w:tc>
          <w:tcPr>
            <w:tcW w:w="821" w:type="dxa"/>
          </w:tcPr>
          <w:p w:rsidR="00FF39D0" w:rsidRPr="008F00C9" w:rsidRDefault="00A72AC7" w:rsidP="00A72AC7">
            <w:pPr>
              <w:jc w:val="right"/>
            </w:pPr>
            <w:r w:rsidRPr="008F00C9">
              <w:t>8</w:t>
            </w:r>
          </w:p>
        </w:tc>
      </w:tr>
      <w:tr w:rsidR="00FF39D0" w:rsidRPr="008F00C9" w:rsidTr="00FF39D0">
        <w:tc>
          <w:tcPr>
            <w:tcW w:w="8755" w:type="dxa"/>
          </w:tcPr>
          <w:p w:rsidR="00FF39D0" w:rsidRPr="008F00C9" w:rsidRDefault="000A20F3" w:rsidP="0008647B">
            <w:pPr>
              <w:pStyle w:val="ListParagraph"/>
              <w:numPr>
                <w:ilvl w:val="1"/>
                <w:numId w:val="25"/>
              </w:numPr>
            </w:pPr>
            <w:r w:rsidRPr="008F00C9">
              <w:t xml:space="preserve">Regulations and </w:t>
            </w:r>
            <w:r w:rsidR="0008647B" w:rsidRPr="008F00C9">
              <w:t xml:space="preserve">financial supervisory </w:t>
            </w:r>
          </w:p>
        </w:tc>
        <w:tc>
          <w:tcPr>
            <w:tcW w:w="821" w:type="dxa"/>
          </w:tcPr>
          <w:p w:rsidR="00FF39D0" w:rsidRPr="008F00C9" w:rsidRDefault="00A72AC7" w:rsidP="00A72AC7">
            <w:pPr>
              <w:jc w:val="right"/>
            </w:pPr>
            <w:r w:rsidRPr="008F00C9">
              <w:t>14</w:t>
            </w:r>
          </w:p>
        </w:tc>
      </w:tr>
      <w:tr w:rsidR="00FF39D0" w:rsidRPr="008F00C9" w:rsidTr="00FF39D0">
        <w:tc>
          <w:tcPr>
            <w:tcW w:w="8755" w:type="dxa"/>
          </w:tcPr>
          <w:p w:rsidR="00FF39D0" w:rsidRPr="008F00C9" w:rsidRDefault="0008647B" w:rsidP="0008647B">
            <w:pPr>
              <w:pStyle w:val="ListParagraph"/>
              <w:numPr>
                <w:ilvl w:val="1"/>
                <w:numId w:val="25"/>
              </w:numPr>
            </w:pPr>
            <w:r w:rsidRPr="008F00C9">
              <w:t>Investment funds mechanism</w:t>
            </w:r>
          </w:p>
        </w:tc>
        <w:tc>
          <w:tcPr>
            <w:tcW w:w="821" w:type="dxa"/>
          </w:tcPr>
          <w:p w:rsidR="00FF39D0" w:rsidRPr="008F00C9" w:rsidRDefault="00A72AC7" w:rsidP="00A72AC7">
            <w:pPr>
              <w:jc w:val="right"/>
            </w:pPr>
            <w:r w:rsidRPr="008F00C9">
              <w:t>20</w:t>
            </w:r>
          </w:p>
        </w:tc>
      </w:tr>
      <w:tr w:rsidR="00FF39D0" w:rsidRPr="008F00C9" w:rsidTr="00FF39D0">
        <w:tc>
          <w:tcPr>
            <w:tcW w:w="8755" w:type="dxa"/>
          </w:tcPr>
          <w:p w:rsidR="00FF39D0" w:rsidRPr="008F00C9" w:rsidRDefault="0008647B" w:rsidP="0008647B">
            <w:pPr>
              <w:pStyle w:val="ListParagraph"/>
              <w:numPr>
                <w:ilvl w:val="1"/>
                <w:numId w:val="25"/>
              </w:numPr>
            </w:pPr>
            <w:r w:rsidRPr="008F00C9">
              <w:t>Impact of mutual funds functionality</w:t>
            </w:r>
          </w:p>
        </w:tc>
        <w:tc>
          <w:tcPr>
            <w:tcW w:w="821" w:type="dxa"/>
          </w:tcPr>
          <w:p w:rsidR="00FF39D0" w:rsidRPr="008F00C9" w:rsidRDefault="00A72AC7" w:rsidP="00A72AC7">
            <w:pPr>
              <w:jc w:val="right"/>
            </w:pPr>
            <w:r w:rsidRPr="008F00C9">
              <w:t>43</w:t>
            </w:r>
          </w:p>
        </w:tc>
      </w:tr>
      <w:tr w:rsidR="0008647B" w:rsidRPr="008F00C9" w:rsidTr="00FF39D0">
        <w:tc>
          <w:tcPr>
            <w:tcW w:w="8755" w:type="dxa"/>
          </w:tcPr>
          <w:p w:rsidR="0008647B" w:rsidRPr="008F00C9" w:rsidRDefault="0008647B" w:rsidP="0008647B">
            <w:pPr>
              <w:pStyle w:val="ListParagraph"/>
              <w:numPr>
                <w:ilvl w:val="1"/>
                <w:numId w:val="25"/>
              </w:numPr>
            </w:pPr>
            <w:r w:rsidRPr="008F00C9">
              <w:t>Determinants of mutual funds development</w:t>
            </w:r>
          </w:p>
        </w:tc>
        <w:tc>
          <w:tcPr>
            <w:tcW w:w="821" w:type="dxa"/>
          </w:tcPr>
          <w:p w:rsidR="0008647B" w:rsidRPr="008F00C9" w:rsidRDefault="00A72AC7" w:rsidP="00A72AC7">
            <w:pPr>
              <w:jc w:val="right"/>
            </w:pPr>
            <w:r w:rsidRPr="008F00C9">
              <w:t>55</w:t>
            </w:r>
          </w:p>
        </w:tc>
      </w:tr>
      <w:tr w:rsidR="0008647B" w:rsidRPr="008F00C9" w:rsidTr="00FF39D0">
        <w:tc>
          <w:tcPr>
            <w:tcW w:w="8755" w:type="dxa"/>
          </w:tcPr>
          <w:p w:rsidR="0008647B" w:rsidRPr="008F00C9" w:rsidRDefault="0008647B" w:rsidP="0008647B">
            <w:pPr>
              <w:pStyle w:val="ListParagraph"/>
              <w:numPr>
                <w:ilvl w:val="1"/>
                <w:numId w:val="25"/>
              </w:numPr>
            </w:pPr>
            <w:r w:rsidRPr="008F00C9">
              <w:t xml:space="preserve">Development perspectives of mutual funds market </w:t>
            </w:r>
          </w:p>
        </w:tc>
        <w:tc>
          <w:tcPr>
            <w:tcW w:w="821" w:type="dxa"/>
          </w:tcPr>
          <w:p w:rsidR="0008647B" w:rsidRPr="008F00C9" w:rsidRDefault="00A72AC7" w:rsidP="00A72AC7">
            <w:pPr>
              <w:jc w:val="right"/>
            </w:pPr>
            <w:r w:rsidRPr="008F00C9">
              <w:t>67</w:t>
            </w:r>
          </w:p>
        </w:tc>
      </w:tr>
      <w:tr w:rsidR="0008647B" w:rsidRPr="008F00C9" w:rsidTr="00FF39D0">
        <w:tc>
          <w:tcPr>
            <w:tcW w:w="8755" w:type="dxa"/>
          </w:tcPr>
          <w:p w:rsidR="0008647B" w:rsidRPr="008F00C9" w:rsidRDefault="0008647B" w:rsidP="0008647B">
            <w:r w:rsidRPr="008F00C9">
              <w:rPr>
                <w:b/>
              </w:rPr>
              <w:t xml:space="preserve">Chapter 2. </w:t>
            </w:r>
            <w:r w:rsidRPr="008F00C9">
              <w:t xml:space="preserve">International context of Romanian Investment fund market </w:t>
            </w:r>
          </w:p>
        </w:tc>
        <w:tc>
          <w:tcPr>
            <w:tcW w:w="821" w:type="dxa"/>
          </w:tcPr>
          <w:p w:rsidR="0008647B" w:rsidRPr="008F00C9" w:rsidRDefault="00A72AC7" w:rsidP="00A72AC7">
            <w:pPr>
              <w:jc w:val="right"/>
            </w:pPr>
            <w:r w:rsidRPr="008F00C9">
              <w:t>69</w:t>
            </w:r>
          </w:p>
        </w:tc>
      </w:tr>
      <w:tr w:rsidR="0008647B" w:rsidRPr="008F00C9" w:rsidTr="00FF39D0">
        <w:tc>
          <w:tcPr>
            <w:tcW w:w="8755" w:type="dxa"/>
          </w:tcPr>
          <w:p w:rsidR="0008647B" w:rsidRPr="008F00C9" w:rsidRDefault="0008647B">
            <w:r w:rsidRPr="008F00C9">
              <w:t xml:space="preserve">2.1. </w:t>
            </w:r>
            <w:r w:rsidR="001A1DEF" w:rsidRPr="008F00C9">
              <w:t>Premises of evolution</w:t>
            </w:r>
          </w:p>
        </w:tc>
        <w:tc>
          <w:tcPr>
            <w:tcW w:w="821" w:type="dxa"/>
          </w:tcPr>
          <w:p w:rsidR="0008647B" w:rsidRPr="008F00C9" w:rsidRDefault="00A72AC7" w:rsidP="00A72AC7">
            <w:pPr>
              <w:jc w:val="right"/>
            </w:pPr>
            <w:r w:rsidRPr="008F00C9">
              <w:t>69</w:t>
            </w:r>
          </w:p>
        </w:tc>
      </w:tr>
      <w:tr w:rsidR="0008647B" w:rsidRPr="008F00C9" w:rsidTr="00FF39D0">
        <w:tc>
          <w:tcPr>
            <w:tcW w:w="8755" w:type="dxa"/>
          </w:tcPr>
          <w:p w:rsidR="0008647B" w:rsidRPr="008F00C9" w:rsidRDefault="0008647B">
            <w:r w:rsidRPr="008F00C9">
              <w:t xml:space="preserve">2.2. </w:t>
            </w:r>
            <w:r w:rsidR="001A1DEF" w:rsidRPr="008F00C9">
              <w:t>Asset management involvement in mutual funds development</w:t>
            </w:r>
          </w:p>
        </w:tc>
        <w:tc>
          <w:tcPr>
            <w:tcW w:w="821" w:type="dxa"/>
          </w:tcPr>
          <w:p w:rsidR="0008647B" w:rsidRPr="008F00C9" w:rsidRDefault="00A72AC7" w:rsidP="00A72AC7">
            <w:pPr>
              <w:jc w:val="right"/>
            </w:pPr>
            <w:r w:rsidRPr="008F00C9">
              <w:t>87</w:t>
            </w:r>
          </w:p>
        </w:tc>
      </w:tr>
      <w:tr w:rsidR="0008647B" w:rsidRPr="008F00C9" w:rsidTr="00FF39D0">
        <w:tc>
          <w:tcPr>
            <w:tcW w:w="8755" w:type="dxa"/>
          </w:tcPr>
          <w:p w:rsidR="0008647B" w:rsidRPr="008F00C9" w:rsidRDefault="0008647B">
            <w:r w:rsidRPr="008F00C9">
              <w:t xml:space="preserve">2.3. </w:t>
            </w:r>
            <w:r w:rsidR="001A1DEF" w:rsidRPr="008F00C9">
              <w:t xml:space="preserve">Romanian Open-end funds dynamics </w:t>
            </w:r>
          </w:p>
        </w:tc>
        <w:tc>
          <w:tcPr>
            <w:tcW w:w="821" w:type="dxa"/>
          </w:tcPr>
          <w:p w:rsidR="0008647B" w:rsidRPr="008F00C9" w:rsidRDefault="00A72AC7" w:rsidP="00A72AC7">
            <w:pPr>
              <w:jc w:val="right"/>
            </w:pPr>
            <w:r w:rsidRPr="008F00C9">
              <w:t>95</w:t>
            </w:r>
          </w:p>
        </w:tc>
      </w:tr>
      <w:tr w:rsidR="0008647B" w:rsidRPr="008F00C9" w:rsidTr="00FF39D0">
        <w:tc>
          <w:tcPr>
            <w:tcW w:w="8755" w:type="dxa"/>
          </w:tcPr>
          <w:p w:rsidR="0008647B" w:rsidRPr="008F00C9" w:rsidRDefault="0008647B">
            <w:r w:rsidRPr="008F00C9">
              <w:t>2.4.</w:t>
            </w:r>
            <w:r w:rsidR="001A1DEF" w:rsidRPr="008F00C9">
              <w:t xml:space="preserve"> Romanian Close-end funds evolution</w:t>
            </w:r>
          </w:p>
        </w:tc>
        <w:tc>
          <w:tcPr>
            <w:tcW w:w="821" w:type="dxa"/>
          </w:tcPr>
          <w:p w:rsidR="0008647B" w:rsidRPr="008F00C9" w:rsidRDefault="00A72AC7" w:rsidP="00A72AC7">
            <w:pPr>
              <w:jc w:val="right"/>
            </w:pPr>
            <w:r w:rsidRPr="008F00C9">
              <w:t>109</w:t>
            </w:r>
          </w:p>
        </w:tc>
      </w:tr>
      <w:tr w:rsidR="0008647B" w:rsidRPr="008F00C9" w:rsidTr="00FF39D0">
        <w:tc>
          <w:tcPr>
            <w:tcW w:w="8755" w:type="dxa"/>
          </w:tcPr>
          <w:p w:rsidR="0008647B" w:rsidRPr="008F00C9" w:rsidRDefault="0008647B" w:rsidP="001A1DEF">
            <w:r w:rsidRPr="008F00C9">
              <w:t>2.5.</w:t>
            </w:r>
            <w:r w:rsidR="001A1DEF" w:rsidRPr="008F00C9">
              <w:t xml:space="preserve"> Foreign investment funds competition within Romanian investment funds market</w:t>
            </w:r>
          </w:p>
        </w:tc>
        <w:tc>
          <w:tcPr>
            <w:tcW w:w="821" w:type="dxa"/>
          </w:tcPr>
          <w:p w:rsidR="0008647B" w:rsidRPr="008F00C9" w:rsidRDefault="00A72AC7" w:rsidP="00A72AC7">
            <w:pPr>
              <w:jc w:val="right"/>
            </w:pPr>
            <w:r w:rsidRPr="008F00C9">
              <w:t>121</w:t>
            </w:r>
          </w:p>
        </w:tc>
      </w:tr>
      <w:tr w:rsidR="001A1DEF" w:rsidRPr="008F00C9" w:rsidTr="00FF39D0">
        <w:tc>
          <w:tcPr>
            <w:tcW w:w="8755" w:type="dxa"/>
          </w:tcPr>
          <w:p w:rsidR="001A1DEF" w:rsidRPr="008F00C9" w:rsidRDefault="001A1DEF">
            <w:r w:rsidRPr="008F00C9">
              <w:t>2.6. Potential development views</w:t>
            </w:r>
          </w:p>
        </w:tc>
        <w:tc>
          <w:tcPr>
            <w:tcW w:w="821" w:type="dxa"/>
          </w:tcPr>
          <w:p w:rsidR="001A1DEF" w:rsidRPr="008F00C9" w:rsidRDefault="00A72AC7" w:rsidP="00A72AC7">
            <w:pPr>
              <w:jc w:val="right"/>
            </w:pPr>
            <w:r w:rsidRPr="008F00C9">
              <w:t>130</w:t>
            </w:r>
          </w:p>
        </w:tc>
      </w:tr>
      <w:tr w:rsidR="0008647B" w:rsidRPr="008F00C9" w:rsidTr="00FF39D0">
        <w:tc>
          <w:tcPr>
            <w:tcW w:w="8755" w:type="dxa"/>
          </w:tcPr>
          <w:p w:rsidR="0008647B" w:rsidRPr="008F00C9" w:rsidRDefault="0008647B" w:rsidP="001A1DEF">
            <w:r w:rsidRPr="008F00C9">
              <w:rPr>
                <w:b/>
              </w:rPr>
              <w:t>Chapter 3.</w:t>
            </w:r>
            <w:r w:rsidR="001A1DEF" w:rsidRPr="008F00C9">
              <w:t xml:space="preserve"> Analysis of Romanian mutual funds performance</w:t>
            </w:r>
          </w:p>
        </w:tc>
        <w:tc>
          <w:tcPr>
            <w:tcW w:w="821" w:type="dxa"/>
          </w:tcPr>
          <w:p w:rsidR="0008647B" w:rsidRPr="008F00C9" w:rsidRDefault="00A72AC7" w:rsidP="00A72AC7">
            <w:pPr>
              <w:jc w:val="right"/>
            </w:pPr>
            <w:r w:rsidRPr="008F00C9">
              <w:t>133</w:t>
            </w:r>
          </w:p>
        </w:tc>
      </w:tr>
      <w:tr w:rsidR="0008647B" w:rsidRPr="008F00C9" w:rsidTr="00FF39D0">
        <w:tc>
          <w:tcPr>
            <w:tcW w:w="8755" w:type="dxa"/>
          </w:tcPr>
          <w:p w:rsidR="0008647B" w:rsidRPr="008F00C9" w:rsidRDefault="0008647B" w:rsidP="00F7530E">
            <w:r w:rsidRPr="008F00C9">
              <w:t>3.1.</w:t>
            </w:r>
            <w:r w:rsidR="001A1DEF" w:rsidRPr="008F00C9">
              <w:t xml:space="preserve"> </w:t>
            </w:r>
            <w:r w:rsidR="00F7530E" w:rsidRPr="008F00C9">
              <w:t>Literature overview over performance determinants</w:t>
            </w:r>
          </w:p>
        </w:tc>
        <w:tc>
          <w:tcPr>
            <w:tcW w:w="821" w:type="dxa"/>
          </w:tcPr>
          <w:p w:rsidR="0008647B" w:rsidRPr="008F00C9" w:rsidRDefault="00A72AC7" w:rsidP="00A72AC7">
            <w:pPr>
              <w:jc w:val="right"/>
            </w:pPr>
            <w:r w:rsidRPr="008F00C9">
              <w:t>133</w:t>
            </w:r>
          </w:p>
        </w:tc>
      </w:tr>
      <w:tr w:rsidR="00A72AC7" w:rsidRPr="008F00C9" w:rsidTr="00FF39D0">
        <w:tc>
          <w:tcPr>
            <w:tcW w:w="8755" w:type="dxa"/>
          </w:tcPr>
          <w:p w:rsidR="00A72AC7" w:rsidRPr="008F00C9" w:rsidRDefault="00A72AC7" w:rsidP="00A72AC7">
            <w:r w:rsidRPr="008F00C9">
              <w:t>3.2. Defining performance valuation</w:t>
            </w:r>
          </w:p>
        </w:tc>
        <w:tc>
          <w:tcPr>
            <w:tcW w:w="821" w:type="dxa"/>
          </w:tcPr>
          <w:p w:rsidR="00A72AC7" w:rsidRPr="008F00C9" w:rsidRDefault="00A72AC7" w:rsidP="00BF6928">
            <w:pPr>
              <w:jc w:val="right"/>
            </w:pPr>
            <w:r w:rsidRPr="008F00C9">
              <w:t>141</w:t>
            </w:r>
          </w:p>
        </w:tc>
      </w:tr>
      <w:tr w:rsidR="00A72AC7" w:rsidRPr="008F00C9" w:rsidTr="00FF39D0">
        <w:tc>
          <w:tcPr>
            <w:tcW w:w="8755" w:type="dxa"/>
          </w:tcPr>
          <w:p w:rsidR="00A72AC7" w:rsidRPr="008F00C9" w:rsidRDefault="00A72AC7">
            <w:r w:rsidRPr="008F00C9">
              <w:t>3.3. Valuation of Romanian mutual funds – 2007-2015 data</w:t>
            </w:r>
          </w:p>
        </w:tc>
        <w:tc>
          <w:tcPr>
            <w:tcW w:w="821" w:type="dxa"/>
          </w:tcPr>
          <w:p w:rsidR="00A72AC7" w:rsidRPr="008F00C9" w:rsidRDefault="00A72AC7" w:rsidP="00BF6928">
            <w:pPr>
              <w:jc w:val="right"/>
            </w:pPr>
            <w:r w:rsidRPr="008F00C9">
              <w:t>148</w:t>
            </w:r>
          </w:p>
        </w:tc>
      </w:tr>
      <w:tr w:rsidR="00A72AC7" w:rsidRPr="008F00C9" w:rsidTr="00FF39D0">
        <w:tc>
          <w:tcPr>
            <w:tcW w:w="8755" w:type="dxa"/>
          </w:tcPr>
          <w:p w:rsidR="00A72AC7" w:rsidRPr="008F00C9" w:rsidRDefault="00A72AC7">
            <w:r w:rsidRPr="008F00C9">
              <w:t>3.4. Comparison between various portfolio investments and mutual funds alternative</w:t>
            </w:r>
          </w:p>
        </w:tc>
        <w:tc>
          <w:tcPr>
            <w:tcW w:w="821" w:type="dxa"/>
          </w:tcPr>
          <w:p w:rsidR="00A72AC7" w:rsidRPr="008F00C9" w:rsidRDefault="00A72AC7" w:rsidP="00BF6928">
            <w:pPr>
              <w:jc w:val="right"/>
            </w:pPr>
            <w:r w:rsidRPr="008F00C9">
              <w:t>184</w:t>
            </w:r>
          </w:p>
        </w:tc>
      </w:tr>
      <w:tr w:rsidR="00A72AC7" w:rsidRPr="008F00C9" w:rsidTr="00FF39D0">
        <w:tc>
          <w:tcPr>
            <w:tcW w:w="8755" w:type="dxa"/>
          </w:tcPr>
          <w:p w:rsidR="00A72AC7" w:rsidRPr="008F00C9" w:rsidRDefault="00A72AC7" w:rsidP="00811ADF">
            <w:r w:rsidRPr="008F00C9">
              <w:rPr>
                <w:b/>
              </w:rPr>
              <w:t>Chapter 4.</w:t>
            </w:r>
            <w:r w:rsidRPr="008F00C9">
              <w:t xml:space="preserve"> Financing alternatives ensured by mutual funds industry </w:t>
            </w:r>
          </w:p>
        </w:tc>
        <w:tc>
          <w:tcPr>
            <w:tcW w:w="821" w:type="dxa"/>
          </w:tcPr>
          <w:p w:rsidR="00A72AC7" w:rsidRPr="008F00C9" w:rsidRDefault="00A72AC7" w:rsidP="00A72AC7">
            <w:pPr>
              <w:jc w:val="right"/>
            </w:pPr>
            <w:r w:rsidRPr="008F00C9">
              <w:t>186</w:t>
            </w:r>
          </w:p>
        </w:tc>
      </w:tr>
      <w:tr w:rsidR="00A72AC7" w:rsidRPr="008F00C9" w:rsidTr="00FF39D0">
        <w:tc>
          <w:tcPr>
            <w:tcW w:w="8755" w:type="dxa"/>
          </w:tcPr>
          <w:p w:rsidR="00A72AC7" w:rsidRPr="008F00C9" w:rsidRDefault="00A72AC7">
            <w:r w:rsidRPr="008F00C9">
              <w:t>4.1. Financing cycle benefics and implications</w:t>
            </w:r>
          </w:p>
        </w:tc>
        <w:tc>
          <w:tcPr>
            <w:tcW w:w="821" w:type="dxa"/>
          </w:tcPr>
          <w:p w:rsidR="00A72AC7" w:rsidRPr="008F00C9" w:rsidRDefault="00A72AC7" w:rsidP="00A72AC7">
            <w:pPr>
              <w:jc w:val="right"/>
            </w:pPr>
            <w:r w:rsidRPr="008F00C9">
              <w:t>186</w:t>
            </w:r>
          </w:p>
        </w:tc>
      </w:tr>
      <w:tr w:rsidR="00A72AC7" w:rsidRPr="008F00C9" w:rsidTr="00FF39D0">
        <w:tc>
          <w:tcPr>
            <w:tcW w:w="8755" w:type="dxa"/>
          </w:tcPr>
          <w:p w:rsidR="00A72AC7" w:rsidRPr="008F00C9" w:rsidRDefault="00A72AC7">
            <w:r w:rsidRPr="008F00C9">
              <w:t xml:space="preserve">4.2. Private equity funds as financing alternative </w:t>
            </w:r>
          </w:p>
        </w:tc>
        <w:tc>
          <w:tcPr>
            <w:tcW w:w="821" w:type="dxa"/>
          </w:tcPr>
          <w:p w:rsidR="00A72AC7" w:rsidRPr="008F00C9" w:rsidRDefault="00A72AC7" w:rsidP="00A72AC7">
            <w:pPr>
              <w:jc w:val="right"/>
            </w:pPr>
            <w:r w:rsidRPr="008F00C9">
              <w:t>188</w:t>
            </w:r>
          </w:p>
        </w:tc>
      </w:tr>
      <w:tr w:rsidR="00A72AC7" w:rsidRPr="008F00C9" w:rsidTr="00FF39D0">
        <w:tc>
          <w:tcPr>
            <w:tcW w:w="8755" w:type="dxa"/>
          </w:tcPr>
          <w:p w:rsidR="00A72AC7" w:rsidRPr="008F00C9" w:rsidRDefault="00A72AC7">
            <w:r w:rsidRPr="008F00C9">
              <w:t>4.3. Functionality of private equity funds</w:t>
            </w:r>
          </w:p>
        </w:tc>
        <w:tc>
          <w:tcPr>
            <w:tcW w:w="821" w:type="dxa"/>
          </w:tcPr>
          <w:p w:rsidR="00A72AC7" w:rsidRPr="008F00C9" w:rsidRDefault="00A72AC7" w:rsidP="00A72AC7">
            <w:pPr>
              <w:jc w:val="right"/>
            </w:pPr>
            <w:r w:rsidRPr="008F00C9">
              <w:t>195</w:t>
            </w:r>
          </w:p>
        </w:tc>
      </w:tr>
      <w:tr w:rsidR="00A72AC7" w:rsidRPr="008F00C9" w:rsidTr="00FF39D0">
        <w:tc>
          <w:tcPr>
            <w:tcW w:w="8755" w:type="dxa"/>
          </w:tcPr>
          <w:p w:rsidR="00A72AC7" w:rsidRPr="008F00C9" w:rsidRDefault="00A72AC7" w:rsidP="00811ADF">
            <w:r w:rsidRPr="008F00C9">
              <w:t>4.4. Private equity market – historical evolution. European Private Equity Market</w:t>
            </w:r>
          </w:p>
        </w:tc>
        <w:tc>
          <w:tcPr>
            <w:tcW w:w="821" w:type="dxa"/>
          </w:tcPr>
          <w:p w:rsidR="00A72AC7" w:rsidRPr="008F00C9" w:rsidRDefault="00A72AC7" w:rsidP="00A72AC7">
            <w:pPr>
              <w:jc w:val="right"/>
            </w:pPr>
            <w:r w:rsidRPr="008F00C9">
              <w:t>208</w:t>
            </w:r>
          </w:p>
        </w:tc>
      </w:tr>
      <w:tr w:rsidR="00A72AC7" w:rsidRPr="008F00C9" w:rsidTr="00FF39D0">
        <w:tc>
          <w:tcPr>
            <w:tcW w:w="8755" w:type="dxa"/>
          </w:tcPr>
          <w:p w:rsidR="00A72AC7" w:rsidRPr="008F00C9" w:rsidRDefault="00A72AC7" w:rsidP="00811ADF">
            <w:r w:rsidRPr="008F00C9">
              <w:t xml:space="preserve">4.5. Case study: Sicomed – Zentiva </w:t>
            </w:r>
          </w:p>
        </w:tc>
        <w:tc>
          <w:tcPr>
            <w:tcW w:w="821" w:type="dxa"/>
          </w:tcPr>
          <w:p w:rsidR="00A72AC7" w:rsidRPr="008F00C9" w:rsidRDefault="00A72AC7" w:rsidP="00A72AC7">
            <w:pPr>
              <w:jc w:val="right"/>
            </w:pPr>
            <w:r w:rsidRPr="008F00C9">
              <w:t>219</w:t>
            </w:r>
          </w:p>
        </w:tc>
      </w:tr>
      <w:tr w:rsidR="00A72AC7" w:rsidRPr="008F00C9" w:rsidTr="00FF39D0">
        <w:tc>
          <w:tcPr>
            <w:tcW w:w="8755" w:type="dxa"/>
          </w:tcPr>
          <w:p w:rsidR="00A72AC7" w:rsidRPr="008F00C9" w:rsidRDefault="00A72AC7">
            <w:r w:rsidRPr="008F00C9">
              <w:t>4.6. Controversal aspects over Private Equity investments and financing activity</w:t>
            </w:r>
          </w:p>
        </w:tc>
        <w:tc>
          <w:tcPr>
            <w:tcW w:w="821" w:type="dxa"/>
          </w:tcPr>
          <w:p w:rsidR="00A72AC7" w:rsidRPr="008F00C9" w:rsidRDefault="00A72AC7" w:rsidP="00A72AC7">
            <w:pPr>
              <w:jc w:val="right"/>
            </w:pPr>
            <w:r w:rsidRPr="008F00C9">
              <w:t>233</w:t>
            </w:r>
          </w:p>
        </w:tc>
      </w:tr>
      <w:tr w:rsidR="00A72AC7" w:rsidRPr="008F00C9" w:rsidTr="00FF39D0">
        <w:tc>
          <w:tcPr>
            <w:tcW w:w="8755" w:type="dxa"/>
          </w:tcPr>
          <w:p w:rsidR="00A72AC7" w:rsidRPr="008F00C9" w:rsidRDefault="00A72AC7">
            <w:r w:rsidRPr="008F00C9">
              <w:rPr>
                <w:b/>
              </w:rPr>
              <w:t>Chapter 5.</w:t>
            </w:r>
            <w:r w:rsidRPr="008F00C9">
              <w:t xml:space="preserve"> Empiric analysis of Romanian mutual funds performance valuation</w:t>
            </w:r>
          </w:p>
        </w:tc>
        <w:tc>
          <w:tcPr>
            <w:tcW w:w="821" w:type="dxa"/>
          </w:tcPr>
          <w:p w:rsidR="00A72AC7" w:rsidRPr="008F00C9" w:rsidRDefault="00A72AC7" w:rsidP="00A72AC7">
            <w:pPr>
              <w:jc w:val="right"/>
            </w:pPr>
            <w:r w:rsidRPr="008F00C9">
              <w:t>238</w:t>
            </w:r>
          </w:p>
        </w:tc>
      </w:tr>
      <w:tr w:rsidR="00A72AC7" w:rsidRPr="008F00C9" w:rsidTr="00FF39D0">
        <w:tc>
          <w:tcPr>
            <w:tcW w:w="8755" w:type="dxa"/>
          </w:tcPr>
          <w:p w:rsidR="00A72AC7" w:rsidRPr="008F00C9" w:rsidRDefault="00A72AC7" w:rsidP="001A1DEF">
            <w:r w:rsidRPr="008F00C9">
              <w:t xml:space="preserve">5.1. Testing main performance determinants of Romanian equity and balanced funds, 2007-2015 </w:t>
            </w:r>
          </w:p>
        </w:tc>
        <w:tc>
          <w:tcPr>
            <w:tcW w:w="821" w:type="dxa"/>
          </w:tcPr>
          <w:p w:rsidR="00A72AC7" w:rsidRPr="008F00C9" w:rsidRDefault="00A72AC7" w:rsidP="00A72AC7">
            <w:pPr>
              <w:jc w:val="right"/>
            </w:pPr>
            <w:r w:rsidRPr="008F00C9">
              <w:t>238</w:t>
            </w:r>
          </w:p>
        </w:tc>
      </w:tr>
      <w:tr w:rsidR="00A72AC7" w:rsidRPr="008F00C9" w:rsidTr="00FF39D0">
        <w:tc>
          <w:tcPr>
            <w:tcW w:w="8755" w:type="dxa"/>
          </w:tcPr>
          <w:p w:rsidR="00A72AC7" w:rsidRPr="008F00C9" w:rsidRDefault="00A72AC7">
            <w:r w:rsidRPr="008F00C9">
              <w:t>5.2. Data Envelopment Analysis over Romanian mutual funds performance valuation</w:t>
            </w:r>
          </w:p>
        </w:tc>
        <w:tc>
          <w:tcPr>
            <w:tcW w:w="821" w:type="dxa"/>
          </w:tcPr>
          <w:p w:rsidR="00A72AC7" w:rsidRPr="008F00C9" w:rsidRDefault="00A72AC7" w:rsidP="00A72AC7">
            <w:pPr>
              <w:jc w:val="right"/>
            </w:pPr>
            <w:r w:rsidRPr="008F00C9">
              <w:t>253</w:t>
            </w:r>
          </w:p>
        </w:tc>
      </w:tr>
      <w:tr w:rsidR="00A72AC7" w:rsidRPr="008F00C9" w:rsidTr="00FF39D0">
        <w:tc>
          <w:tcPr>
            <w:tcW w:w="8755" w:type="dxa"/>
          </w:tcPr>
          <w:p w:rsidR="00A72AC7" w:rsidRPr="008F00C9" w:rsidRDefault="00A72AC7">
            <w:pPr>
              <w:rPr>
                <w:b/>
              </w:rPr>
            </w:pPr>
            <w:r w:rsidRPr="008F00C9">
              <w:rPr>
                <w:b/>
              </w:rPr>
              <w:t>Final remarks</w:t>
            </w:r>
          </w:p>
        </w:tc>
        <w:tc>
          <w:tcPr>
            <w:tcW w:w="821" w:type="dxa"/>
          </w:tcPr>
          <w:p w:rsidR="00A72AC7" w:rsidRPr="008F00C9" w:rsidRDefault="00A72AC7" w:rsidP="00A72AC7">
            <w:pPr>
              <w:jc w:val="right"/>
            </w:pPr>
            <w:r w:rsidRPr="008F00C9">
              <w:t>275</w:t>
            </w:r>
          </w:p>
        </w:tc>
      </w:tr>
      <w:tr w:rsidR="00A72AC7" w:rsidRPr="008F00C9" w:rsidTr="00FF39D0">
        <w:tc>
          <w:tcPr>
            <w:tcW w:w="8755" w:type="dxa"/>
          </w:tcPr>
          <w:p w:rsidR="00A72AC7" w:rsidRPr="008F00C9" w:rsidRDefault="00A72AC7">
            <w:r w:rsidRPr="008F00C9">
              <w:t>Bibliography</w:t>
            </w:r>
          </w:p>
        </w:tc>
        <w:tc>
          <w:tcPr>
            <w:tcW w:w="821" w:type="dxa"/>
          </w:tcPr>
          <w:p w:rsidR="00A72AC7" w:rsidRPr="008F00C9" w:rsidRDefault="00A72AC7" w:rsidP="00A72AC7">
            <w:pPr>
              <w:jc w:val="right"/>
            </w:pPr>
            <w:r w:rsidRPr="008F00C9">
              <w:t>284</w:t>
            </w:r>
          </w:p>
        </w:tc>
      </w:tr>
      <w:tr w:rsidR="00A72AC7" w:rsidRPr="008F00C9" w:rsidTr="00FF39D0">
        <w:tc>
          <w:tcPr>
            <w:tcW w:w="8755" w:type="dxa"/>
          </w:tcPr>
          <w:p w:rsidR="00A72AC7" w:rsidRPr="008F00C9" w:rsidRDefault="00A72AC7">
            <w:r w:rsidRPr="008F00C9">
              <w:t>Abbreviations</w:t>
            </w:r>
          </w:p>
        </w:tc>
        <w:tc>
          <w:tcPr>
            <w:tcW w:w="821" w:type="dxa"/>
          </w:tcPr>
          <w:p w:rsidR="00A72AC7" w:rsidRPr="008F00C9" w:rsidRDefault="00A72AC7" w:rsidP="00A72AC7">
            <w:pPr>
              <w:jc w:val="right"/>
            </w:pPr>
            <w:r w:rsidRPr="008F00C9">
              <w:t>290</w:t>
            </w:r>
          </w:p>
        </w:tc>
      </w:tr>
      <w:tr w:rsidR="00A72AC7" w:rsidRPr="008F00C9" w:rsidTr="00FF39D0">
        <w:tc>
          <w:tcPr>
            <w:tcW w:w="8755" w:type="dxa"/>
          </w:tcPr>
          <w:p w:rsidR="00A72AC7" w:rsidRPr="008F00C9" w:rsidRDefault="00A72AC7" w:rsidP="0008647B">
            <w:r w:rsidRPr="008F00C9">
              <w:t>Table of figures</w:t>
            </w:r>
          </w:p>
        </w:tc>
        <w:tc>
          <w:tcPr>
            <w:tcW w:w="821" w:type="dxa"/>
          </w:tcPr>
          <w:p w:rsidR="00A72AC7" w:rsidRPr="008F00C9" w:rsidRDefault="00A72AC7" w:rsidP="00A72AC7">
            <w:pPr>
              <w:jc w:val="right"/>
            </w:pPr>
            <w:r w:rsidRPr="008F00C9">
              <w:t>294</w:t>
            </w:r>
          </w:p>
        </w:tc>
      </w:tr>
      <w:tr w:rsidR="00A72AC7" w:rsidRPr="008F00C9" w:rsidTr="00FF39D0">
        <w:tc>
          <w:tcPr>
            <w:tcW w:w="8755" w:type="dxa"/>
          </w:tcPr>
          <w:p w:rsidR="00A72AC7" w:rsidRPr="008F00C9" w:rsidRDefault="00A72AC7" w:rsidP="0008647B">
            <w:r w:rsidRPr="008F00C9">
              <w:t>Appendix</w:t>
            </w:r>
          </w:p>
        </w:tc>
        <w:tc>
          <w:tcPr>
            <w:tcW w:w="821" w:type="dxa"/>
          </w:tcPr>
          <w:p w:rsidR="00A72AC7" w:rsidRPr="008F00C9" w:rsidRDefault="00A72AC7" w:rsidP="00A72AC7">
            <w:pPr>
              <w:jc w:val="right"/>
            </w:pPr>
            <w:r w:rsidRPr="008F00C9">
              <w:t>300</w:t>
            </w:r>
          </w:p>
        </w:tc>
      </w:tr>
    </w:tbl>
    <w:p w:rsidR="00FF39D0" w:rsidRPr="008F00C9" w:rsidRDefault="00FF39D0"/>
    <w:p w:rsidR="006B590A" w:rsidRPr="008F00C9" w:rsidRDefault="00C02D37" w:rsidP="00C35DD3">
      <w:pPr>
        <w:pStyle w:val="Heading1"/>
      </w:pPr>
      <w:bookmarkStart w:id="1" w:name="_Toc452412561"/>
      <w:r w:rsidRPr="008F00C9">
        <w:t>KEYWORDS</w:t>
      </w:r>
      <w:bookmarkEnd w:id="1"/>
    </w:p>
    <w:p w:rsidR="00C35DD3" w:rsidRPr="008F00C9" w:rsidRDefault="00C35DD3"/>
    <w:p w:rsidR="00C35DD3" w:rsidRPr="008F00C9" w:rsidRDefault="00833AE4" w:rsidP="00B37277">
      <w:pPr>
        <w:spacing w:after="0" w:line="240" w:lineRule="auto"/>
        <w:jc w:val="both"/>
        <w:rPr>
          <w:rFonts w:ascii="Times New Roman" w:hAnsi="Times New Roman" w:cs="Times New Roman"/>
          <w:i/>
          <w:sz w:val="24"/>
          <w:szCs w:val="24"/>
        </w:rPr>
      </w:pPr>
      <w:r w:rsidRPr="008F00C9">
        <w:rPr>
          <w:rFonts w:ascii="Times New Roman" w:hAnsi="Times New Roman" w:cs="Times New Roman"/>
          <w:i/>
          <w:sz w:val="24"/>
          <w:szCs w:val="24"/>
        </w:rPr>
        <w:t>Total net assets</w:t>
      </w:r>
      <w:r w:rsidR="007455D8" w:rsidRPr="008F00C9">
        <w:rPr>
          <w:rFonts w:ascii="Times New Roman" w:hAnsi="Times New Roman" w:cs="Times New Roman"/>
          <w:i/>
          <w:sz w:val="24"/>
          <w:szCs w:val="24"/>
        </w:rPr>
        <w:t xml:space="preserve">, </w:t>
      </w:r>
      <w:r w:rsidRPr="008F00C9">
        <w:rPr>
          <w:rFonts w:ascii="Times New Roman" w:hAnsi="Times New Roman" w:cs="Times New Roman"/>
          <w:i/>
          <w:sz w:val="24"/>
          <w:szCs w:val="24"/>
        </w:rPr>
        <w:t>stock market capitalization</w:t>
      </w:r>
      <w:r w:rsidR="007455D8" w:rsidRPr="008F00C9">
        <w:rPr>
          <w:rFonts w:ascii="Times New Roman" w:hAnsi="Times New Roman" w:cs="Times New Roman"/>
          <w:i/>
          <w:sz w:val="24"/>
          <w:szCs w:val="24"/>
        </w:rPr>
        <w:t xml:space="preserve">, </w:t>
      </w:r>
      <w:r w:rsidRPr="008F00C9">
        <w:rPr>
          <w:rFonts w:ascii="Times New Roman" w:hAnsi="Times New Roman" w:cs="Times New Roman"/>
          <w:i/>
          <w:sz w:val="24"/>
          <w:szCs w:val="24"/>
        </w:rPr>
        <w:t>equity</w:t>
      </w:r>
      <w:r w:rsidR="007455D8" w:rsidRPr="008F00C9">
        <w:rPr>
          <w:rFonts w:ascii="Times New Roman" w:hAnsi="Times New Roman" w:cs="Times New Roman"/>
          <w:i/>
          <w:sz w:val="24"/>
          <w:szCs w:val="24"/>
        </w:rPr>
        <w:t xml:space="preserve">, </w:t>
      </w:r>
      <w:r w:rsidRPr="008F00C9">
        <w:rPr>
          <w:rFonts w:ascii="Times New Roman" w:hAnsi="Times New Roman" w:cs="Times New Roman"/>
          <w:i/>
          <w:sz w:val="24"/>
          <w:szCs w:val="24"/>
        </w:rPr>
        <w:t>economic growth</w:t>
      </w:r>
      <w:r w:rsidR="007455D8" w:rsidRPr="008F00C9">
        <w:rPr>
          <w:rFonts w:ascii="Times New Roman" w:hAnsi="Times New Roman" w:cs="Times New Roman"/>
          <w:i/>
          <w:sz w:val="24"/>
          <w:szCs w:val="24"/>
        </w:rPr>
        <w:t xml:space="preserve">, </w:t>
      </w:r>
      <w:r w:rsidRPr="008F00C9">
        <w:rPr>
          <w:rFonts w:ascii="Times New Roman" w:hAnsi="Times New Roman" w:cs="Times New Roman"/>
          <w:i/>
          <w:sz w:val="24"/>
          <w:szCs w:val="24"/>
        </w:rPr>
        <w:t>financial crisis</w:t>
      </w:r>
      <w:r w:rsidR="007455D8" w:rsidRPr="008F00C9">
        <w:rPr>
          <w:rFonts w:ascii="Times New Roman" w:hAnsi="Times New Roman" w:cs="Times New Roman"/>
          <w:i/>
          <w:sz w:val="24"/>
          <w:szCs w:val="24"/>
        </w:rPr>
        <w:t xml:space="preserve">, </w:t>
      </w:r>
      <w:r w:rsidR="00AB5B51" w:rsidRPr="008F00C9">
        <w:rPr>
          <w:rFonts w:ascii="Times New Roman" w:hAnsi="Times New Roman" w:cs="Times New Roman"/>
          <w:i/>
          <w:sz w:val="24"/>
          <w:szCs w:val="24"/>
        </w:rPr>
        <w:t xml:space="preserve">pre-crisis, post-crisis, </w:t>
      </w:r>
      <w:r w:rsidRPr="008F00C9">
        <w:rPr>
          <w:rFonts w:ascii="Times New Roman" w:hAnsi="Times New Roman" w:cs="Times New Roman"/>
          <w:i/>
          <w:sz w:val="24"/>
          <w:szCs w:val="24"/>
        </w:rPr>
        <w:t>efficiency</w:t>
      </w:r>
      <w:r w:rsidR="007455D8" w:rsidRPr="008F00C9">
        <w:rPr>
          <w:rFonts w:ascii="Times New Roman" w:hAnsi="Times New Roman" w:cs="Times New Roman"/>
          <w:i/>
          <w:sz w:val="24"/>
          <w:szCs w:val="24"/>
        </w:rPr>
        <w:t xml:space="preserve">, </w:t>
      </w:r>
      <w:r w:rsidRPr="008F00C9">
        <w:rPr>
          <w:rFonts w:ascii="Times New Roman" w:hAnsi="Times New Roman" w:cs="Times New Roman"/>
          <w:i/>
          <w:sz w:val="24"/>
          <w:szCs w:val="24"/>
        </w:rPr>
        <w:t>inflows of capital</w:t>
      </w:r>
      <w:r w:rsidR="007455D8" w:rsidRPr="008F00C9">
        <w:rPr>
          <w:rFonts w:ascii="Times New Roman" w:hAnsi="Times New Roman" w:cs="Times New Roman"/>
          <w:i/>
          <w:sz w:val="24"/>
          <w:szCs w:val="24"/>
        </w:rPr>
        <w:t xml:space="preserve">, </w:t>
      </w:r>
      <w:r w:rsidRPr="008F00C9">
        <w:rPr>
          <w:rFonts w:ascii="Times New Roman" w:hAnsi="Times New Roman" w:cs="Times New Roman"/>
          <w:i/>
          <w:sz w:val="24"/>
          <w:szCs w:val="24"/>
        </w:rPr>
        <w:t>mutual funds</w:t>
      </w:r>
      <w:r w:rsidR="007455D8" w:rsidRPr="008F00C9">
        <w:rPr>
          <w:rFonts w:ascii="Times New Roman" w:hAnsi="Times New Roman" w:cs="Times New Roman"/>
          <w:i/>
          <w:sz w:val="24"/>
          <w:szCs w:val="24"/>
        </w:rPr>
        <w:t xml:space="preserve">, </w:t>
      </w:r>
      <w:r w:rsidRPr="008F00C9">
        <w:rPr>
          <w:rFonts w:ascii="Times New Roman" w:hAnsi="Times New Roman" w:cs="Times New Roman"/>
          <w:i/>
          <w:sz w:val="24"/>
          <w:szCs w:val="24"/>
        </w:rPr>
        <w:t>close-end funds</w:t>
      </w:r>
      <w:r w:rsidR="007455D8" w:rsidRPr="008F00C9">
        <w:rPr>
          <w:rFonts w:ascii="Times New Roman" w:hAnsi="Times New Roman" w:cs="Times New Roman"/>
          <w:i/>
          <w:sz w:val="24"/>
          <w:szCs w:val="24"/>
        </w:rPr>
        <w:t xml:space="preserve">, </w:t>
      </w:r>
      <w:r w:rsidRPr="008F00C9">
        <w:rPr>
          <w:rFonts w:ascii="Times New Roman" w:hAnsi="Times New Roman" w:cs="Times New Roman"/>
          <w:i/>
          <w:sz w:val="24"/>
          <w:szCs w:val="24"/>
        </w:rPr>
        <w:t>market indexes</w:t>
      </w:r>
      <w:r w:rsidR="007455D8" w:rsidRPr="008F00C9">
        <w:rPr>
          <w:rFonts w:ascii="Times New Roman" w:hAnsi="Times New Roman" w:cs="Times New Roman"/>
          <w:i/>
          <w:sz w:val="24"/>
          <w:szCs w:val="24"/>
        </w:rPr>
        <w:t xml:space="preserve">, </w:t>
      </w:r>
      <w:r w:rsidRPr="008F00C9">
        <w:rPr>
          <w:rFonts w:ascii="Times New Roman" w:hAnsi="Times New Roman" w:cs="Times New Roman"/>
          <w:i/>
          <w:sz w:val="24"/>
          <w:szCs w:val="24"/>
        </w:rPr>
        <w:t>private equity investments</w:t>
      </w:r>
      <w:r w:rsidR="007455D8" w:rsidRPr="008F00C9">
        <w:rPr>
          <w:rFonts w:ascii="Times New Roman" w:hAnsi="Times New Roman" w:cs="Times New Roman"/>
          <w:i/>
          <w:sz w:val="24"/>
          <w:szCs w:val="24"/>
        </w:rPr>
        <w:t xml:space="preserve">, </w:t>
      </w:r>
      <w:r w:rsidRPr="008F00C9">
        <w:rPr>
          <w:rFonts w:ascii="Times New Roman" w:hAnsi="Times New Roman" w:cs="Times New Roman"/>
          <w:i/>
          <w:sz w:val="24"/>
          <w:szCs w:val="24"/>
        </w:rPr>
        <w:t>sophisticated investors</w:t>
      </w:r>
      <w:r w:rsidR="007455D8" w:rsidRPr="008F00C9">
        <w:rPr>
          <w:rFonts w:ascii="Times New Roman" w:hAnsi="Times New Roman" w:cs="Times New Roman"/>
          <w:i/>
          <w:sz w:val="24"/>
          <w:szCs w:val="24"/>
        </w:rPr>
        <w:t xml:space="preserve">, </w:t>
      </w:r>
      <w:r w:rsidRPr="008F00C9">
        <w:rPr>
          <w:rFonts w:ascii="Times New Roman" w:hAnsi="Times New Roman" w:cs="Times New Roman"/>
          <w:i/>
          <w:sz w:val="24"/>
          <w:szCs w:val="24"/>
        </w:rPr>
        <w:t>institutional investors</w:t>
      </w:r>
      <w:r w:rsidR="007455D8" w:rsidRPr="008F00C9">
        <w:rPr>
          <w:rFonts w:ascii="Times New Roman" w:hAnsi="Times New Roman" w:cs="Times New Roman"/>
          <w:i/>
          <w:sz w:val="24"/>
          <w:szCs w:val="24"/>
        </w:rPr>
        <w:t xml:space="preserve">, </w:t>
      </w:r>
      <w:r w:rsidRPr="008F00C9">
        <w:rPr>
          <w:rFonts w:ascii="Times New Roman" w:hAnsi="Times New Roman" w:cs="Times New Roman"/>
          <w:i/>
          <w:sz w:val="24"/>
          <w:szCs w:val="24"/>
        </w:rPr>
        <w:t>portfolio investments</w:t>
      </w:r>
      <w:r w:rsidR="007455D8" w:rsidRPr="008F00C9">
        <w:rPr>
          <w:rFonts w:ascii="Times New Roman" w:hAnsi="Times New Roman" w:cs="Times New Roman"/>
          <w:i/>
          <w:sz w:val="24"/>
          <w:szCs w:val="24"/>
        </w:rPr>
        <w:t xml:space="preserve">, </w:t>
      </w:r>
      <w:r w:rsidRPr="008F00C9">
        <w:rPr>
          <w:rFonts w:ascii="Times New Roman" w:hAnsi="Times New Roman" w:cs="Times New Roman"/>
          <w:i/>
          <w:sz w:val="24"/>
          <w:szCs w:val="24"/>
        </w:rPr>
        <w:t>liquidity</w:t>
      </w:r>
      <w:r w:rsidR="007455D8" w:rsidRPr="008F00C9">
        <w:rPr>
          <w:rFonts w:ascii="Times New Roman" w:hAnsi="Times New Roman" w:cs="Times New Roman"/>
          <w:i/>
          <w:sz w:val="24"/>
          <w:szCs w:val="24"/>
        </w:rPr>
        <w:t xml:space="preserve">, </w:t>
      </w:r>
      <w:r w:rsidRPr="008F00C9">
        <w:rPr>
          <w:rFonts w:ascii="Times New Roman" w:hAnsi="Times New Roman" w:cs="Times New Roman"/>
          <w:i/>
          <w:sz w:val="24"/>
          <w:szCs w:val="24"/>
        </w:rPr>
        <w:t>collective portfolio investments</w:t>
      </w:r>
      <w:r w:rsidR="007455D8" w:rsidRPr="008F00C9">
        <w:rPr>
          <w:rFonts w:ascii="Times New Roman" w:hAnsi="Times New Roman" w:cs="Times New Roman"/>
          <w:i/>
          <w:sz w:val="24"/>
          <w:szCs w:val="24"/>
        </w:rPr>
        <w:t xml:space="preserve">, </w:t>
      </w:r>
      <w:r w:rsidRPr="008F00C9">
        <w:rPr>
          <w:rFonts w:ascii="Times New Roman" w:hAnsi="Times New Roman" w:cs="Times New Roman"/>
          <w:i/>
          <w:sz w:val="24"/>
          <w:szCs w:val="24"/>
        </w:rPr>
        <w:t>return</w:t>
      </w:r>
      <w:r w:rsidR="007455D8" w:rsidRPr="008F00C9">
        <w:rPr>
          <w:rFonts w:ascii="Times New Roman" w:hAnsi="Times New Roman" w:cs="Times New Roman"/>
          <w:i/>
          <w:sz w:val="24"/>
          <w:szCs w:val="24"/>
        </w:rPr>
        <w:t xml:space="preserve">, </w:t>
      </w:r>
      <w:r w:rsidRPr="008F00C9">
        <w:rPr>
          <w:rFonts w:ascii="Times New Roman" w:hAnsi="Times New Roman" w:cs="Times New Roman"/>
          <w:i/>
          <w:sz w:val="24"/>
          <w:szCs w:val="24"/>
        </w:rPr>
        <w:t>net asset value</w:t>
      </w:r>
      <w:r w:rsidR="007455D8" w:rsidRPr="008F00C9">
        <w:rPr>
          <w:rFonts w:ascii="Times New Roman" w:hAnsi="Times New Roman" w:cs="Times New Roman"/>
          <w:i/>
          <w:sz w:val="24"/>
          <w:szCs w:val="24"/>
        </w:rPr>
        <w:t>,</w:t>
      </w:r>
      <w:r w:rsidRPr="008F00C9">
        <w:rPr>
          <w:rFonts w:ascii="Times New Roman" w:hAnsi="Times New Roman" w:cs="Times New Roman"/>
          <w:i/>
          <w:sz w:val="24"/>
          <w:szCs w:val="24"/>
        </w:rPr>
        <w:t xml:space="preserve"> investment alternatives</w:t>
      </w:r>
      <w:r w:rsidR="007455D8" w:rsidRPr="008F00C9">
        <w:rPr>
          <w:rFonts w:ascii="Times New Roman" w:hAnsi="Times New Roman" w:cs="Times New Roman"/>
          <w:i/>
          <w:sz w:val="24"/>
          <w:szCs w:val="24"/>
        </w:rPr>
        <w:t xml:space="preserve">, </w:t>
      </w:r>
      <w:r w:rsidRPr="008F00C9">
        <w:rPr>
          <w:rFonts w:ascii="Times New Roman" w:hAnsi="Times New Roman" w:cs="Times New Roman"/>
          <w:i/>
          <w:sz w:val="24"/>
          <w:szCs w:val="24"/>
        </w:rPr>
        <w:t>volatility risk.</w:t>
      </w:r>
    </w:p>
    <w:p w:rsidR="00AC0EE1" w:rsidRPr="008F00C9" w:rsidRDefault="00AC0EE1"/>
    <w:p w:rsidR="00AC0EE1" w:rsidRPr="008F00C9" w:rsidRDefault="006F30E7" w:rsidP="00C35DD3">
      <w:pPr>
        <w:pStyle w:val="Heading1"/>
      </w:pPr>
      <w:bookmarkStart w:id="2" w:name="_Toc452412562"/>
      <w:r w:rsidRPr="008F00C9">
        <w:lastRenderedPageBreak/>
        <w:t>MAIN OBJECTIVES OF THE STUDY</w:t>
      </w:r>
      <w:bookmarkEnd w:id="2"/>
    </w:p>
    <w:p w:rsidR="00CE20D2" w:rsidRPr="008F00C9" w:rsidRDefault="00CE20D2" w:rsidP="00CE20D2"/>
    <w:p w:rsidR="0072044B" w:rsidRPr="008F00C9" w:rsidRDefault="00561D30" w:rsidP="00B37277">
      <w:pPr>
        <w:spacing w:after="120" w:line="240" w:lineRule="auto"/>
        <w:jc w:val="both"/>
        <w:rPr>
          <w:rFonts w:ascii="Times New Roman" w:hAnsi="Times New Roman" w:cs="Times New Roman"/>
          <w:noProof/>
          <w:sz w:val="24"/>
          <w:szCs w:val="24"/>
        </w:rPr>
      </w:pPr>
      <w:r w:rsidRPr="008F00C9">
        <w:rPr>
          <w:rFonts w:ascii="Times New Roman" w:hAnsi="Times New Roman" w:cs="Times New Roman"/>
          <w:noProof/>
          <w:sz w:val="24"/>
          <w:szCs w:val="24"/>
        </w:rPr>
        <w:t xml:space="preserve">Investment funds </w:t>
      </w:r>
      <w:r w:rsidR="00747DD6" w:rsidRPr="008F00C9">
        <w:rPr>
          <w:rFonts w:ascii="Times New Roman" w:hAnsi="Times New Roman" w:cs="Times New Roman"/>
          <w:noProof/>
          <w:sz w:val="24"/>
          <w:szCs w:val="24"/>
        </w:rPr>
        <w:t>evolution has been lately very dynamic being widely studied along with international market volatility and the crisis cycles. The main challenge of the research is to identify the determinants (direct or indirect) of investment fund dynamics, for both global and national capital market and to evaluate appropriate solutions to prevent future fluctuations.</w:t>
      </w:r>
    </w:p>
    <w:p w:rsidR="00747DD6" w:rsidRPr="008F00C9" w:rsidRDefault="00747DD6" w:rsidP="00B37277">
      <w:pPr>
        <w:spacing w:after="120" w:line="240" w:lineRule="auto"/>
        <w:jc w:val="both"/>
        <w:rPr>
          <w:rFonts w:ascii="Times New Roman" w:hAnsi="Times New Roman" w:cs="Times New Roman"/>
          <w:noProof/>
          <w:sz w:val="24"/>
          <w:szCs w:val="24"/>
        </w:rPr>
      </w:pPr>
      <w:r w:rsidRPr="008F00C9">
        <w:rPr>
          <w:rFonts w:ascii="Times New Roman" w:hAnsi="Times New Roman" w:cs="Times New Roman"/>
          <w:noProof/>
          <w:sz w:val="24"/>
          <w:szCs w:val="24"/>
        </w:rPr>
        <w:t xml:space="preserve">This topic is attractive for the latter researches as mutual funds issues (dynamic, market size, market shares) involve </w:t>
      </w:r>
      <w:r w:rsidR="003C63C0" w:rsidRPr="008F00C9">
        <w:rPr>
          <w:rFonts w:ascii="Times New Roman" w:hAnsi="Times New Roman" w:cs="Times New Roman"/>
          <w:noProof/>
          <w:sz w:val="24"/>
          <w:szCs w:val="24"/>
        </w:rPr>
        <w:t xml:space="preserve">a wide areas of study, industries and countries, enhancing a great significance for both academic literature and global capital market as complex connections are involved between capital allocation, financing decisions and economy. </w:t>
      </w:r>
    </w:p>
    <w:p w:rsidR="003C63C0" w:rsidRPr="008F00C9" w:rsidRDefault="003C63C0" w:rsidP="00B37277">
      <w:pPr>
        <w:spacing w:after="120" w:line="240" w:lineRule="auto"/>
        <w:jc w:val="both"/>
        <w:rPr>
          <w:rFonts w:ascii="Times New Roman" w:hAnsi="Times New Roman" w:cs="Times New Roman"/>
          <w:noProof/>
          <w:sz w:val="24"/>
          <w:szCs w:val="24"/>
        </w:rPr>
      </w:pPr>
      <w:r w:rsidRPr="008F00C9">
        <w:rPr>
          <w:rFonts w:ascii="Times New Roman" w:hAnsi="Times New Roman" w:cs="Times New Roman"/>
          <w:noProof/>
          <w:sz w:val="24"/>
          <w:szCs w:val="24"/>
        </w:rPr>
        <w:t>The research of Romanian mutual funds industry is spreaded over a 10 years time period, between 2006 and 201</w:t>
      </w:r>
      <w:r w:rsidR="00EB2EFC" w:rsidRPr="008F00C9">
        <w:rPr>
          <w:rFonts w:ascii="Times New Roman" w:hAnsi="Times New Roman" w:cs="Times New Roman"/>
          <w:noProof/>
          <w:sz w:val="24"/>
          <w:szCs w:val="24"/>
        </w:rPr>
        <w:t>4</w:t>
      </w:r>
      <w:r w:rsidRPr="008F00C9">
        <w:rPr>
          <w:rFonts w:ascii="Times New Roman" w:hAnsi="Times New Roman" w:cs="Times New Roman"/>
          <w:noProof/>
          <w:sz w:val="24"/>
          <w:szCs w:val="24"/>
        </w:rPr>
        <w:t>. The yearly selected interval facilitates the observation of the industry’s dynamics</w:t>
      </w:r>
      <w:r w:rsidR="00EB2EFC" w:rsidRPr="008F00C9">
        <w:rPr>
          <w:rFonts w:ascii="Times New Roman" w:hAnsi="Times New Roman" w:cs="Times New Roman"/>
          <w:noProof/>
          <w:sz w:val="24"/>
          <w:szCs w:val="24"/>
        </w:rPr>
        <w:t xml:space="preserve"> – i.e. its </w:t>
      </w:r>
      <w:r w:rsidRPr="008F00C9">
        <w:rPr>
          <w:rFonts w:ascii="Times New Roman" w:hAnsi="Times New Roman" w:cs="Times New Roman"/>
          <w:noProof/>
          <w:sz w:val="24"/>
          <w:szCs w:val="24"/>
        </w:rPr>
        <w:t xml:space="preserve">upsurge </w:t>
      </w:r>
      <w:r w:rsidR="00EB2EFC" w:rsidRPr="008F00C9">
        <w:rPr>
          <w:rFonts w:ascii="Times New Roman" w:hAnsi="Times New Roman" w:cs="Times New Roman"/>
          <w:noProof/>
          <w:sz w:val="24"/>
          <w:szCs w:val="24"/>
        </w:rPr>
        <w:t>between years 2005-2007, its recessive tear in 2008 and also the post-crisis evolution until end of 2014.</w:t>
      </w:r>
    </w:p>
    <w:p w:rsidR="00EB2EFC" w:rsidRPr="008F00C9" w:rsidRDefault="00EB2EFC" w:rsidP="00B37277">
      <w:pPr>
        <w:spacing w:after="120" w:line="240" w:lineRule="auto"/>
        <w:jc w:val="both"/>
        <w:rPr>
          <w:rFonts w:ascii="Times New Roman" w:hAnsi="Times New Roman" w:cs="Times New Roman"/>
          <w:noProof/>
          <w:sz w:val="24"/>
          <w:szCs w:val="24"/>
        </w:rPr>
      </w:pPr>
      <w:r w:rsidRPr="008F00C9">
        <w:rPr>
          <w:rFonts w:ascii="Times New Roman" w:hAnsi="Times New Roman" w:cs="Times New Roman"/>
          <w:noProof/>
          <w:sz w:val="24"/>
          <w:szCs w:val="24"/>
        </w:rPr>
        <w:t xml:space="preserve">Actually, this research approach is significant as there were fewer studies that have included the local industry on the map of the global investment funds market. It becomes one of the studies that observes the main development areas of the national investment funds industry. As well, the research </w:t>
      </w:r>
      <w:r w:rsidR="00C63FBF" w:rsidRPr="008F00C9">
        <w:rPr>
          <w:rFonts w:ascii="Times New Roman" w:hAnsi="Times New Roman" w:cs="Times New Roman"/>
          <w:noProof/>
          <w:sz w:val="24"/>
          <w:szCs w:val="24"/>
        </w:rPr>
        <w:t>outlines the industry’s redimensioning trends and sets a pillar for the local literature. Therewith, our approach gains relevance as it provides relevant alternatives in boosting the economy thourgh this investment vehicles – by funding companies and simultaneously by supporting economic growth.</w:t>
      </w:r>
    </w:p>
    <w:p w:rsidR="00C63FBF" w:rsidRPr="008F00C9" w:rsidRDefault="00C63FBF" w:rsidP="00C63FBF">
      <w:pPr>
        <w:spacing w:after="0" w:line="240" w:lineRule="auto"/>
        <w:jc w:val="both"/>
        <w:rPr>
          <w:rFonts w:ascii="Times New Roman" w:hAnsi="Times New Roman" w:cs="Times New Roman"/>
          <w:noProof/>
          <w:sz w:val="24"/>
          <w:szCs w:val="24"/>
        </w:rPr>
      </w:pPr>
      <w:r w:rsidRPr="008F00C9">
        <w:rPr>
          <w:rFonts w:ascii="Times New Roman" w:hAnsi="Times New Roman" w:cs="Times New Roman"/>
          <w:noProof/>
          <w:sz w:val="24"/>
          <w:szCs w:val="24"/>
        </w:rPr>
        <w:t>In order to fulfill the study, we have taken to the forefront the following objectives:</w:t>
      </w:r>
    </w:p>
    <w:p w:rsidR="00C63FBF" w:rsidRPr="008F00C9" w:rsidRDefault="00C63FBF" w:rsidP="00C63FBF">
      <w:pPr>
        <w:spacing w:after="0" w:line="240" w:lineRule="auto"/>
        <w:ind w:left="720"/>
        <w:jc w:val="both"/>
        <w:rPr>
          <w:rFonts w:ascii="Times New Roman" w:hAnsi="Times New Roman" w:cs="Times New Roman"/>
          <w:noProof/>
          <w:sz w:val="24"/>
          <w:szCs w:val="24"/>
        </w:rPr>
      </w:pPr>
      <w:r w:rsidRPr="008F00C9">
        <w:rPr>
          <w:rFonts w:ascii="Times New Roman" w:hAnsi="Times New Roman" w:cs="Times New Roman"/>
          <w:noProof/>
          <w:sz w:val="24"/>
          <w:szCs w:val="24"/>
        </w:rPr>
        <w:t>- establishing the role of investment funds;</w:t>
      </w:r>
    </w:p>
    <w:p w:rsidR="00C63FBF" w:rsidRPr="008F00C9" w:rsidRDefault="00C63FBF" w:rsidP="00C63FBF">
      <w:pPr>
        <w:spacing w:after="0" w:line="240" w:lineRule="auto"/>
        <w:ind w:left="720"/>
        <w:jc w:val="both"/>
        <w:rPr>
          <w:rFonts w:ascii="Times New Roman" w:hAnsi="Times New Roman" w:cs="Times New Roman"/>
          <w:noProof/>
          <w:sz w:val="24"/>
          <w:szCs w:val="24"/>
        </w:rPr>
      </w:pPr>
      <w:r w:rsidRPr="008F00C9">
        <w:rPr>
          <w:rFonts w:ascii="Times New Roman" w:hAnsi="Times New Roman" w:cs="Times New Roman"/>
          <w:noProof/>
          <w:sz w:val="24"/>
          <w:szCs w:val="24"/>
        </w:rPr>
        <w:t>- highlighting the causal relationship between the dynamics of investment funds and economic conditions;</w:t>
      </w:r>
    </w:p>
    <w:p w:rsidR="00C63FBF" w:rsidRPr="008F00C9" w:rsidRDefault="00C63FBF" w:rsidP="00C63FBF">
      <w:pPr>
        <w:spacing w:after="0" w:line="240" w:lineRule="auto"/>
        <w:ind w:left="720"/>
        <w:jc w:val="both"/>
        <w:rPr>
          <w:rFonts w:ascii="Times New Roman" w:hAnsi="Times New Roman" w:cs="Times New Roman"/>
          <w:noProof/>
          <w:sz w:val="24"/>
          <w:szCs w:val="24"/>
        </w:rPr>
      </w:pPr>
      <w:r w:rsidRPr="008F00C9">
        <w:rPr>
          <w:rFonts w:ascii="Times New Roman" w:hAnsi="Times New Roman" w:cs="Times New Roman"/>
          <w:noProof/>
          <w:sz w:val="24"/>
          <w:szCs w:val="24"/>
        </w:rPr>
        <w:t>- highlighting the growth potential determinants of investment funds;</w:t>
      </w:r>
    </w:p>
    <w:p w:rsidR="00C63FBF" w:rsidRPr="008F00C9" w:rsidRDefault="00C63FBF" w:rsidP="00C63FBF">
      <w:pPr>
        <w:spacing w:after="0" w:line="240" w:lineRule="auto"/>
        <w:ind w:left="720"/>
        <w:jc w:val="both"/>
        <w:rPr>
          <w:rFonts w:ascii="Times New Roman" w:hAnsi="Times New Roman" w:cs="Times New Roman"/>
          <w:noProof/>
          <w:sz w:val="24"/>
          <w:szCs w:val="24"/>
        </w:rPr>
      </w:pPr>
      <w:r w:rsidRPr="008F00C9">
        <w:rPr>
          <w:rFonts w:ascii="Times New Roman" w:hAnsi="Times New Roman" w:cs="Times New Roman"/>
          <w:noProof/>
          <w:sz w:val="24"/>
          <w:szCs w:val="24"/>
        </w:rPr>
        <w:t xml:space="preserve">- reflecting the influence and significance of the determinants of investment funds on the </w:t>
      </w:r>
      <w:r w:rsidR="002B358C" w:rsidRPr="008F00C9">
        <w:rPr>
          <w:rFonts w:ascii="Times New Roman" w:hAnsi="Times New Roman" w:cs="Times New Roman"/>
          <w:noProof/>
          <w:sz w:val="24"/>
          <w:szCs w:val="24"/>
        </w:rPr>
        <w:t xml:space="preserve">pursued </w:t>
      </w:r>
      <w:r w:rsidRPr="008F00C9">
        <w:rPr>
          <w:rFonts w:ascii="Times New Roman" w:hAnsi="Times New Roman" w:cs="Times New Roman"/>
          <w:noProof/>
          <w:sz w:val="24"/>
          <w:szCs w:val="24"/>
        </w:rPr>
        <w:t>variable;</w:t>
      </w:r>
    </w:p>
    <w:p w:rsidR="00C63FBF" w:rsidRPr="008F00C9" w:rsidRDefault="00C63FBF" w:rsidP="00C63FBF">
      <w:pPr>
        <w:spacing w:after="0" w:line="240" w:lineRule="auto"/>
        <w:ind w:left="720"/>
        <w:jc w:val="both"/>
        <w:rPr>
          <w:rFonts w:ascii="Times New Roman" w:hAnsi="Times New Roman" w:cs="Times New Roman"/>
          <w:noProof/>
          <w:sz w:val="24"/>
          <w:szCs w:val="24"/>
        </w:rPr>
      </w:pPr>
      <w:r w:rsidRPr="008F00C9">
        <w:rPr>
          <w:rFonts w:ascii="Times New Roman" w:hAnsi="Times New Roman" w:cs="Times New Roman"/>
          <w:noProof/>
          <w:sz w:val="24"/>
          <w:szCs w:val="24"/>
        </w:rPr>
        <w:t xml:space="preserve">- </w:t>
      </w:r>
      <w:r w:rsidR="002B358C" w:rsidRPr="008F00C9">
        <w:rPr>
          <w:rFonts w:ascii="Times New Roman" w:hAnsi="Times New Roman" w:cs="Times New Roman"/>
          <w:noProof/>
          <w:sz w:val="24"/>
          <w:szCs w:val="24"/>
        </w:rPr>
        <w:t>reviewing and comparing</w:t>
      </w:r>
      <w:r w:rsidRPr="008F00C9">
        <w:rPr>
          <w:rFonts w:ascii="Times New Roman" w:hAnsi="Times New Roman" w:cs="Times New Roman"/>
          <w:noProof/>
          <w:sz w:val="24"/>
          <w:szCs w:val="24"/>
        </w:rPr>
        <w:t xml:space="preserve"> the main models proposed by literature;</w:t>
      </w:r>
    </w:p>
    <w:p w:rsidR="00C63FBF" w:rsidRPr="008F00C9" w:rsidRDefault="00C63FBF" w:rsidP="00C63FBF">
      <w:pPr>
        <w:spacing w:after="0" w:line="240" w:lineRule="auto"/>
        <w:ind w:left="720"/>
        <w:jc w:val="both"/>
        <w:rPr>
          <w:rFonts w:ascii="Times New Roman" w:hAnsi="Times New Roman" w:cs="Times New Roman"/>
          <w:noProof/>
          <w:sz w:val="24"/>
          <w:szCs w:val="24"/>
        </w:rPr>
      </w:pPr>
      <w:r w:rsidRPr="008F00C9">
        <w:rPr>
          <w:rFonts w:ascii="Times New Roman" w:hAnsi="Times New Roman" w:cs="Times New Roman"/>
          <w:noProof/>
          <w:sz w:val="24"/>
          <w:szCs w:val="24"/>
        </w:rPr>
        <w:t xml:space="preserve">- </w:t>
      </w:r>
      <w:r w:rsidR="002B358C" w:rsidRPr="008F00C9">
        <w:rPr>
          <w:rFonts w:ascii="Times New Roman" w:hAnsi="Times New Roman" w:cs="Times New Roman"/>
          <w:noProof/>
          <w:sz w:val="24"/>
          <w:szCs w:val="24"/>
        </w:rPr>
        <w:t>developing of econometric</w:t>
      </w:r>
      <w:r w:rsidRPr="008F00C9">
        <w:rPr>
          <w:rFonts w:ascii="Times New Roman" w:hAnsi="Times New Roman" w:cs="Times New Roman"/>
          <w:noProof/>
          <w:sz w:val="24"/>
          <w:szCs w:val="24"/>
        </w:rPr>
        <w:t xml:space="preserve"> models </w:t>
      </w:r>
      <w:r w:rsidR="002B358C" w:rsidRPr="008F00C9">
        <w:rPr>
          <w:rFonts w:ascii="Times New Roman" w:hAnsi="Times New Roman" w:cs="Times New Roman"/>
          <w:noProof/>
          <w:sz w:val="24"/>
          <w:szCs w:val="24"/>
        </w:rPr>
        <w:t>to</w:t>
      </w:r>
      <w:r w:rsidRPr="008F00C9">
        <w:rPr>
          <w:rFonts w:ascii="Times New Roman" w:hAnsi="Times New Roman" w:cs="Times New Roman"/>
          <w:noProof/>
          <w:sz w:val="24"/>
          <w:szCs w:val="24"/>
        </w:rPr>
        <w:t xml:space="preserve"> highlight the relation between the variables that define the economic environment and the investment placement and investment funds managed by the investment;</w:t>
      </w:r>
    </w:p>
    <w:p w:rsidR="00C63FBF" w:rsidRPr="008F00C9" w:rsidRDefault="00C63FBF" w:rsidP="002B358C">
      <w:pPr>
        <w:spacing w:after="0" w:line="240" w:lineRule="auto"/>
        <w:ind w:left="720"/>
        <w:jc w:val="both"/>
        <w:rPr>
          <w:rFonts w:ascii="Times New Roman" w:hAnsi="Times New Roman" w:cs="Times New Roman"/>
          <w:noProof/>
          <w:sz w:val="24"/>
          <w:szCs w:val="24"/>
        </w:rPr>
      </w:pPr>
      <w:r w:rsidRPr="008F00C9">
        <w:rPr>
          <w:rFonts w:ascii="Times New Roman" w:hAnsi="Times New Roman" w:cs="Times New Roman"/>
          <w:noProof/>
          <w:sz w:val="24"/>
          <w:szCs w:val="24"/>
        </w:rPr>
        <w:t xml:space="preserve">- </w:t>
      </w:r>
      <w:r w:rsidR="002B358C" w:rsidRPr="008F00C9">
        <w:rPr>
          <w:rFonts w:ascii="Times New Roman" w:hAnsi="Times New Roman" w:cs="Times New Roman"/>
          <w:noProof/>
          <w:sz w:val="24"/>
          <w:szCs w:val="24"/>
        </w:rPr>
        <w:t>analyzing</w:t>
      </w:r>
      <w:r w:rsidRPr="008F00C9">
        <w:rPr>
          <w:rFonts w:ascii="Times New Roman" w:hAnsi="Times New Roman" w:cs="Times New Roman"/>
          <w:noProof/>
          <w:sz w:val="24"/>
          <w:szCs w:val="24"/>
        </w:rPr>
        <w:t xml:space="preserve"> of</w:t>
      </w:r>
      <w:r w:rsidR="002B358C" w:rsidRPr="008F00C9">
        <w:rPr>
          <w:rFonts w:ascii="Times New Roman" w:hAnsi="Times New Roman" w:cs="Times New Roman"/>
          <w:noProof/>
          <w:sz w:val="24"/>
          <w:szCs w:val="24"/>
        </w:rPr>
        <w:t xml:space="preserve"> the explanatory model proposed, along with the s</w:t>
      </w:r>
      <w:r w:rsidRPr="008F00C9">
        <w:rPr>
          <w:rFonts w:ascii="Times New Roman" w:hAnsi="Times New Roman" w:cs="Times New Roman"/>
          <w:noProof/>
          <w:sz w:val="24"/>
          <w:szCs w:val="24"/>
        </w:rPr>
        <w:t>ystematization of</w:t>
      </w:r>
      <w:r w:rsidR="002B358C" w:rsidRPr="008F00C9">
        <w:rPr>
          <w:rFonts w:ascii="Times New Roman" w:hAnsi="Times New Roman" w:cs="Times New Roman"/>
          <w:noProof/>
          <w:sz w:val="24"/>
          <w:szCs w:val="24"/>
        </w:rPr>
        <w:t xml:space="preserve"> the</w:t>
      </w:r>
      <w:r w:rsidRPr="008F00C9">
        <w:rPr>
          <w:rFonts w:ascii="Times New Roman" w:hAnsi="Times New Roman" w:cs="Times New Roman"/>
          <w:noProof/>
          <w:sz w:val="24"/>
          <w:szCs w:val="24"/>
        </w:rPr>
        <w:t xml:space="preserve"> derived</w:t>
      </w:r>
      <w:r w:rsidR="002B358C" w:rsidRPr="008F00C9">
        <w:rPr>
          <w:rFonts w:ascii="Times New Roman" w:hAnsi="Times New Roman" w:cs="Times New Roman"/>
          <w:noProof/>
          <w:sz w:val="24"/>
          <w:szCs w:val="24"/>
        </w:rPr>
        <w:t xml:space="preserve"> results and identifying </w:t>
      </w:r>
      <w:r w:rsidRPr="008F00C9">
        <w:rPr>
          <w:rFonts w:ascii="Times New Roman" w:hAnsi="Times New Roman" w:cs="Times New Roman"/>
          <w:noProof/>
          <w:sz w:val="24"/>
          <w:szCs w:val="24"/>
        </w:rPr>
        <w:t xml:space="preserve">the contributions of different explanatory variables </w:t>
      </w:r>
      <w:r w:rsidR="002B358C" w:rsidRPr="008F00C9">
        <w:rPr>
          <w:rFonts w:ascii="Times New Roman" w:hAnsi="Times New Roman" w:cs="Times New Roman"/>
          <w:noProof/>
          <w:sz w:val="24"/>
          <w:szCs w:val="24"/>
        </w:rPr>
        <w:t>over</w:t>
      </w:r>
      <w:r w:rsidRPr="008F00C9">
        <w:rPr>
          <w:rFonts w:ascii="Times New Roman" w:hAnsi="Times New Roman" w:cs="Times New Roman"/>
          <w:noProof/>
          <w:sz w:val="24"/>
          <w:szCs w:val="24"/>
        </w:rPr>
        <w:t xml:space="preserve"> the dependent variable.</w:t>
      </w:r>
    </w:p>
    <w:p w:rsidR="00C63FBF" w:rsidRPr="008F00C9" w:rsidRDefault="00C63FBF" w:rsidP="00B37277">
      <w:pPr>
        <w:spacing w:after="120" w:line="240" w:lineRule="auto"/>
        <w:jc w:val="both"/>
        <w:rPr>
          <w:rFonts w:ascii="Times New Roman" w:hAnsi="Times New Roman" w:cs="Times New Roman"/>
          <w:noProof/>
          <w:sz w:val="12"/>
          <w:szCs w:val="12"/>
        </w:rPr>
      </w:pPr>
    </w:p>
    <w:p w:rsidR="00025953" w:rsidRPr="008F00C9" w:rsidRDefault="00147D19" w:rsidP="00025953">
      <w:pPr>
        <w:spacing w:after="0" w:line="240" w:lineRule="auto"/>
        <w:jc w:val="both"/>
        <w:rPr>
          <w:rFonts w:ascii="Times New Roman" w:hAnsi="Times New Roman" w:cs="Times New Roman"/>
          <w:noProof/>
          <w:sz w:val="24"/>
          <w:szCs w:val="24"/>
        </w:rPr>
      </w:pPr>
      <w:r w:rsidRPr="008F00C9">
        <w:rPr>
          <w:rFonts w:ascii="Times New Roman" w:hAnsi="Times New Roman" w:cs="Times New Roman"/>
          <w:noProof/>
          <w:sz w:val="24"/>
          <w:szCs w:val="24"/>
        </w:rPr>
        <w:t xml:space="preserve">Given the complexity, timeliness and the continuous dynamics of investment funds market, this research adds a significant scientific contribution to the theoretical literature and provides realistic solutions for the interesed parties. The carried approach creates value added by the fact that our study is a first step in assessing the determinants of market development Romanian investment funds in exposing an assessment model state of the industry and hence presents the current maturity level of the national market. However, the usefulness and originality lies in deepening the study </w:t>
      </w:r>
      <w:r w:rsidR="00025953" w:rsidRPr="008F00C9">
        <w:rPr>
          <w:rFonts w:ascii="Times New Roman" w:hAnsi="Times New Roman" w:cs="Times New Roman"/>
          <w:noProof/>
          <w:sz w:val="24"/>
          <w:szCs w:val="24"/>
        </w:rPr>
        <w:t xml:space="preserve">in the Romanian market. More specifically, the undertaken analysis, rigorously structured into fivec chapters sizes and reveals the local investment funds market attractiveness and sets its place in the global market in line with the countries with medium to high investment attractivity. </w:t>
      </w:r>
    </w:p>
    <w:p w:rsidR="00AC0EE1" w:rsidRPr="008F00C9" w:rsidRDefault="00117CEA" w:rsidP="00C35DD3">
      <w:pPr>
        <w:pStyle w:val="Heading1"/>
      </w:pPr>
      <w:bookmarkStart w:id="3" w:name="_Toc452412563"/>
      <w:r w:rsidRPr="008F00C9">
        <w:lastRenderedPageBreak/>
        <w:t xml:space="preserve">THESIS CONTENT - </w:t>
      </w:r>
      <w:r w:rsidR="003D271A" w:rsidRPr="008F00C9">
        <w:t>MAIN CONTRIBUTIONS</w:t>
      </w:r>
      <w:bookmarkEnd w:id="3"/>
    </w:p>
    <w:p w:rsidR="001810A9" w:rsidRPr="008F00C9" w:rsidRDefault="001810A9"/>
    <w:p w:rsidR="00641AD9" w:rsidRPr="008F00C9" w:rsidRDefault="003D271A" w:rsidP="003D271A">
      <w:pPr>
        <w:pStyle w:val="Heading2"/>
        <w:rPr>
          <w:i/>
        </w:rPr>
      </w:pPr>
      <w:bookmarkStart w:id="4" w:name="_Toc452412564"/>
      <w:r w:rsidRPr="008F00C9">
        <w:rPr>
          <w:i/>
        </w:rPr>
        <w:t>Chapter 1. Main aspects of investment funds industry development</w:t>
      </w:r>
      <w:bookmarkEnd w:id="4"/>
    </w:p>
    <w:p w:rsidR="00A27275" w:rsidRPr="008F00C9" w:rsidRDefault="00A27275" w:rsidP="00A27275">
      <w:pPr>
        <w:pStyle w:val="Caption"/>
        <w:spacing w:before="0" w:beforeAutospacing="0" w:after="120" w:afterAutospacing="0"/>
        <w:jc w:val="both"/>
        <w:rPr>
          <w:spacing w:val="-2"/>
        </w:rPr>
      </w:pPr>
    </w:p>
    <w:p w:rsidR="00A27275" w:rsidRPr="008F00C9" w:rsidRDefault="00A27275" w:rsidP="00A27275">
      <w:pPr>
        <w:pStyle w:val="Caption"/>
        <w:spacing w:before="0" w:beforeAutospacing="0" w:after="120" w:afterAutospacing="0"/>
        <w:jc w:val="both"/>
        <w:rPr>
          <w:spacing w:val="-2"/>
        </w:rPr>
      </w:pPr>
      <w:r w:rsidRPr="008F00C9">
        <w:rPr>
          <w:spacing w:val="-2"/>
        </w:rPr>
        <w:t>In the first chapter of the thesis are stated and presented the main theoretical aspects of the investment funds functionality, focusing on identifying the economic implications derived from investment funds activity. Conceptual boundaries and legislative milestones identified in shaping the functioning mechanism of investment funds aim to outline a clear course in knowledge and understanding of the work of these investment vehicles. The analysis over the Romanian mutual funds marked compared to European benchmarks complements and deepens the reserach towards identifying the degree of market integration in the unique European market or even in the international market.</w:t>
      </w:r>
    </w:p>
    <w:p w:rsidR="009045A6" w:rsidRPr="008F00C9" w:rsidRDefault="009045A6" w:rsidP="00A27275">
      <w:pPr>
        <w:pStyle w:val="Caption"/>
        <w:spacing w:before="0" w:beforeAutospacing="0" w:after="120" w:afterAutospacing="0"/>
        <w:jc w:val="both"/>
        <w:rPr>
          <w:spacing w:val="-2"/>
        </w:rPr>
      </w:pPr>
      <w:r w:rsidRPr="008F00C9">
        <w:rPr>
          <w:spacing w:val="-2"/>
        </w:rPr>
        <w:t>The latter development of capital markets, as well the developments of financial innovations have led to many institutions and financial instruments improving the financial intermediation system. Consequently, the actors involved in capital allocation have perfected a complex circuit in brokering the supply of financial investments (i.e. equity holders - investors) and demand for capital (i.e. users of capital - entrepreneurs in need of capital). As a result, this circuit of raising capital has been organized and concentrated in investment funds vehicles.</w:t>
      </w:r>
    </w:p>
    <w:p w:rsidR="009045A6" w:rsidRPr="008F00C9" w:rsidRDefault="009045A6" w:rsidP="00A27275">
      <w:pPr>
        <w:pStyle w:val="Caption"/>
        <w:spacing w:before="0" w:beforeAutospacing="0" w:after="120" w:afterAutospacing="0"/>
        <w:jc w:val="both"/>
        <w:rPr>
          <w:spacing w:val="-2"/>
        </w:rPr>
      </w:pPr>
      <w:r w:rsidRPr="008F00C9">
        <w:rPr>
          <w:spacing w:val="-2"/>
        </w:rPr>
        <w:t>The related scientific literature has long evaluated the evolution of this industry</w:t>
      </w:r>
      <w:r w:rsidR="00AA6AF3" w:rsidRPr="008F00C9">
        <w:rPr>
          <w:spacing w:val="-2"/>
        </w:rPr>
        <w:t xml:space="preserve"> since its beginnings and now we are observing that funds collective industry development has seen a gradual development aside to regulatory framework development, for which ( Fink 2008) ( Radu 2010D ) identified five stages: (1) 1946-1981</w:t>
      </w:r>
      <w:r w:rsidRPr="008F00C9">
        <w:rPr>
          <w:spacing w:val="-2"/>
        </w:rPr>
        <w:t xml:space="preserve">; </w:t>
      </w:r>
      <w:r w:rsidR="00AA6AF3" w:rsidRPr="008F00C9">
        <w:rPr>
          <w:spacing w:val="-2"/>
        </w:rPr>
        <w:t>(2) 1982 - 1993</w:t>
      </w:r>
      <w:r w:rsidRPr="008F00C9">
        <w:rPr>
          <w:spacing w:val="-2"/>
        </w:rPr>
        <w:t xml:space="preserve">; </w:t>
      </w:r>
      <w:r w:rsidR="00AA6AF3" w:rsidRPr="008F00C9">
        <w:rPr>
          <w:spacing w:val="-2"/>
        </w:rPr>
        <w:t>(3) 1992 - 2003</w:t>
      </w:r>
      <w:r w:rsidRPr="008F00C9">
        <w:rPr>
          <w:spacing w:val="-2"/>
        </w:rPr>
        <w:t xml:space="preserve">; </w:t>
      </w:r>
      <w:r w:rsidR="00AA6AF3" w:rsidRPr="008F00C9">
        <w:rPr>
          <w:spacing w:val="-2"/>
        </w:rPr>
        <w:t xml:space="preserve">(4) </w:t>
      </w:r>
      <w:r w:rsidRPr="008F00C9">
        <w:rPr>
          <w:spacing w:val="-2"/>
        </w:rPr>
        <w:t xml:space="preserve">2003-2007 and </w:t>
      </w:r>
      <w:r w:rsidR="00AA6AF3" w:rsidRPr="008F00C9">
        <w:rPr>
          <w:spacing w:val="-2"/>
        </w:rPr>
        <w:t>(5) current stage (t</w:t>
      </w:r>
      <w:r w:rsidRPr="008F00C9">
        <w:rPr>
          <w:spacing w:val="-2"/>
        </w:rPr>
        <w:t>his new phase occurs as a consequence of the financial crisis</w:t>
      </w:r>
      <w:r w:rsidR="00AA6AF3" w:rsidRPr="008F00C9">
        <w:rPr>
          <w:spacing w:val="-2"/>
        </w:rPr>
        <w:t xml:space="preserve"> that has</w:t>
      </w:r>
      <w:r w:rsidRPr="008F00C9">
        <w:rPr>
          <w:spacing w:val="-2"/>
        </w:rPr>
        <w:t xml:space="preserve"> resize</w:t>
      </w:r>
      <w:r w:rsidR="00AA6AF3" w:rsidRPr="008F00C9">
        <w:rPr>
          <w:spacing w:val="-2"/>
        </w:rPr>
        <w:t>d</w:t>
      </w:r>
      <w:r w:rsidRPr="008F00C9">
        <w:rPr>
          <w:spacing w:val="-2"/>
        </w:rPr>
        <w:t xml:space="preserve"> </w:t>
      </w:r>
      <w:r w:rsidR="00AA6AF3" w:rsidRPr="008F00C9">
        <w:rPr>
          <w:spacing w:val="-2"/>
        </w:rPr>
        <w:t xml:space="preserve">the </w:t>
      </w:r>
      <w:r w:rsidRPr="008F00C9">
        <w:rPr>
          <w:spacing w:val="-2"/>
        </w:rPr>
        <w:t>in</w:t>
      </w:r>
      <w:r w:rsidR="00AA6AF3" w:rsidRPr="008F00C9">
        <w:rPr>
          <w:spacing w:val="-2"/>
        </w:rPr>
        <w:t xml:space="preserve">vestment fund industry globally, which corresponds with </w:t>
      </w:r>
      <w:r w:rsidRPr="008F00C9">
        <w:rPr>
          <w:spacing w:val="-2"/>
        </w:rPr>
        <w:t xml:space="preserve">promoting </w:t>
      </w:r>
      <w:r w:rsidR="00AA6AF3" w:rsidRPr="008F00C9">
        <w:rPr>
          <w:spacing w:val="-2"/>
        </w:rPr>
        <w:t>prudential supervision</w:t>
      </w:r>
      <w:r w:rsidRPr="008F00C9">
        <w:rPr>
          <w:spacing w:val="-2"/>
        </w:rPr>
        <w:t xml:space="preserve"> of the global financial market</w:t>
      </w:r>
      <w:r w:rsidR="00AA6AF3" w:rsidRPr="008F00C9">
        <w:rPr>
          <w:spacing w:val="-2"/>
        </w:rPr>
        <w:t>)</w:t>
      </w:r>
      <w:r w:rsidRPr="008F00C9">
        <w:rPr>
          <w:spacing w:val="-2"/>
        </w:rPr>
        <w:t xml:space="preserve">. </w:t>
      </w:r>
    </w:p>
    <w:p w:rsidR="009045A6" w:rsidRPr="008F00C9" w:rsidRDefault="009045A6" w:rsidP="00A27275">
      <w:pPr>
        <w:pStyle w:val="Caption"/>
        <w:spacing w:before="0" w:beforeAutospacing="0" w:after="120" w:afterAutospacing="0"/>
        <w:jc w:val="both"/>
        <w:rPr>
          <w:spacing w:val="-2"/>
        </w:rPr>
      </w:pPr>
      <w:r w:rsidRPr="008F00C9">
        <w:rPr>
          <w:spacing w:val="-2"/>
        </w:rPr>
        <w:t>Regulatory activity and establishing norms and standards for the conduct of investment funds recorded a series of mutations that provide integration and strengthening the supervisory function of the financial system in a single</w:t>
      </w:r>
      <w:r w:rsidR="00AA6AF3" w:rsidRPr="008F00C9">
        <w:rPr>
          <w:spacing w:val="-2"/>
        </w:rPr>
        <w:t xml:space="preserve"> or unitary</w:t>
      </w:r>
      <w:r w:rsidRPr="008F00C9">
        <w:rPr>
          <w:spacing w:val="-2"/>
        </w:rPr>
        <w:t xml:space="preserve"> sy</w:t>
      </w:r>
      <w:r w:rsidR="00AA6AF3" w:rsidRPr="008F00C9">
        <w:rPr>
          <w:spacing w:val="-2"/>
        </w:rPr>
        <w:t>stem</w:t>
      </w:r>
      <w:r w:rsidRPr="008F00C9">
        <w:rPr>
          <w:spacing w:val="-2"/>
        </w:rPr>
        <w:t>.</w:t>
      </w:r>
    </w:p>
    <w:p w:rsidR="006C35C4" w:rsidRPr="008F00C9" w:rsidRDefault="009B1B06" w:rsidP="006C35C4">
      <w:pPr>
        <w:pStyle w:val="Caption"/>
        <w:spacing w:before="0" w:beforeAutospacing="0" w:after="120" w:afterAutospacing="0"/>
        <w:jc w:val="both"/>
        <w:rPr>
          <w:noProof/>
          <w:color w:val="000000"/>
          <w:spacing w:val="-2"/>
        </w:rPr>
      </w:pPr>
      <w:r w:rsidRPr="008F00C9">
        <w:rPr>
          <w:noProof/>
          <w:color w:val="000000"/>
          <w:spacing w:val="-2"/>
        </w:rPr>
        <w:t xml:space="preserve">Main regulatory authorities defining the integrated financial market are depicted in table 1.1. </w:t>
      </w:r>
    </w:p>
    <w:p w:rsidR="006C35C4" w:rsidRPr="008F00C9" w:rsidRDefault="006C35C4" w:rsidP="006C35C4">
      <w:pPr>
        <w:pStyle w:val="Caption"/>
        <w:spacing w:before="0" w:beforeAutospacing="0" w:after="0" w:afterAutospacing="0"/>
        <w:jc w:val="center"/>
        <w:rPr>
          <w:b/>
          <w:noProof/>
          <w:spacing w:val="-2"/>
          <w:sz w:val="20"/>
          <w:szCs w:val="20"/>
        </w:rPr>
      </w:pPr>
      <w:bookmarkStart w:id="5" w:name="_Toc449385104"/>
      <w:r w:rsidRPr="008F00C9">
        <w:rPr>
          <w:b/>
          <w:sz w:val="20"/>
          <w:szCs w:val="20"/>
        </w:rPr>
        <w:t xml:space="preserve">Tabel 1. </w:t>
      </w:r>
      <w:r w:rsidR="004B4616" w:rsidRPr="008F00C9">
        <w:rPr>
          <w:b/>
          <w:sz w:val="20"/>
          <w:szCs w:val="20"/>
        </w:rPr>
        <w:fldChar w:fldCharType="begin"/>
      </w:r>
      <w:r w:rsidRPr="008F00C9">
        <w:rPr>
          <w:b/>
          <w:sz w:val="20"/>
          <w:szCs w:val="20"/>
        </w:rPr>
        <w:instrText xml:space="preserve"> SEQ Tabel_1. \* ARABIC </w:instrText>
      </w:r>
      <w:r w:rsidR="004B4616" w:rsidRPr="008F00C9">
        <w:rPr>
          <w:b/>
          <w:sz w:val="20"/>
          <w:szCs w:val="20"/>
        </w:rPr>
        <w:fldChar w:fldCharType="separate"/>
      </w:r>
      <w:r w:rsidR="00695698" w:rsidRPr="008F00C9">
        <w:rPr>
          <w:b/>
          <w:noProof/>
          <w:sz w:val="20"/>
          <w:szCs w:val="20"/>
        </w:rPr>
        <w:t>1</w:t>
      </w:r>
      <w:r w:rsidR="004B4616" w:rsidRPr="008F00C9">
        <w:rPr>
          <w:b/>
          <w:sz w:val="20"/>
          <w:szCs w:val="20"/>
        </w:rPr>
        <w:fldChar w:fldCharType="end"/>
      </w:r>
      <w:r w:rsidRPr="008F00C9">
        <w:rPr>
          <w:b/>
          <w:sz w:val="20"/>
          <w:szCs w:val="20"/>
        </w:rPr>
        <w:t xml:space="preserve"> </w:t>
      </w:r>
      <w:bookmarkEnd w:id="5"/>
      <w:r w:rsidR="009B1B06" w:rsidRPr="008F00C9">
        <w:rPr>
          <w:b/>
          <w:noProof/>
          <w:spacing w:val="-2"/>
          <w:sz w:val="20"/>
          <w:szCs w:val="20"/>
        </w:rPr>
        <w:t>Regulatory authorities of the financial market</w:t>
      </w:r>
      <w:r w:rsidRPr="008F00C9">
        <w:rPr>
          <w:b/>
          <w:noProof/>
          <w:spacing w:val="-2"/>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4"/>
        <w:gridCol w:w="1819"/>
        <w:gridCol w:w="2856"/>
        <w:gridCol w:w="2287"/>
      </w:tblGrid>
      <w:tr w:rsidR="006C35C4" w:rsidRPr="008F00C9" w:rsidTr="0019180E">
        <w:tc>
          <w:tcPr>
            <w:tcW w:w="1365" w:type="pct"/>
          </w:tcPr>
          <w:p w:rsidR="006C35C4" w:rsidRPr="008F00C9" w:rsidRDefault="00243D64" w:rsidP="0019180E">
            <w:pPr>
              <w:spacing w:after="0" w:line="240" w:lineRule="auto"/>
              <w:jc w:val="both"/>
              <w:rPr>
                <w:rFonts w:ascii="Times New Roman" w:hAnsi="Times New Roman" w:cs="Times New Roman"/>
                <w:b/>
                <w:noProof/>
                <w:spacing w:val="-4"/>
                <w:sz w:val="20"/>
                <w:szCs w:val="20"/>
              </w:rPr>
            </w:pPr>
            <w:r>
              <w:rPr>
                <w:rFonts w:ascii="Times New Roman" w:hAnsi="Times New Roman" w:cs="Times New Roman"/>
                <w:b/>
                <w:noProof/>
                <w:spacing w:val="-4"/>
                <w:sz w:val="20"/>
                <w:szCs w:val="20"/>
              </w:rPr>
              <w:t>Authorities / countries</w:t>
            </w:r>
          </w:p>
        </w:tc>
        <w:tc>
          <w:tcPr>
            <w:tcW w:w="950" w:type="pct"/>
          </w:tcPr>
          <w:p w:rsidR="006C35C4" w:rsidRPr="008F00C9" w:rsidRDefault="00243D64" w:rsidP="0019180E">
            <w:pPr>
              <w:spacing w:after="0" w:line="240" w:lineRule="auto"/>
              <w:jc w:val="both"/>
              <w:rPr>
                <w:rFonts w:ascii="Times New Roman" w:hAnsi="Times New Roman" w:cs="Times New Roman"/>
                <w:b/>
                <w:noProof/>
                <w:spacing w:val="-4"/>
                <w:sz w:val="20"/>
                <w:szCs w:val="20"/>
              </w:rPr>
            </w:pPr>
            <w:r>
              <w:rPr>
                <w:rFonts w:ascii="Times New Roman" w:hAnsi="Times New Roman" w:cs="Times New Roman"/>
                <w:b/>
                <w:noProof/>
                <w:spacing w:val="-4"/>
                <w:sz w:val="20"/>
                <w:szCs w:val="20"/>
              </w:rPr>
              <w:t>Banking sector</w:t>
            </w:r>
          </w:p>
        </w:tc>
        <w:tc>
          <w:tcPr>
            <w:tcW w:w="1491" w:type="pct"/>
          </w:tcPr>
          <w:p w:rsidR="006C35C4" w:rsidRPr="008F00C9" w:rsidRDefault="00243D64" w:rsidP="0019180E">
            <w:pPr>
              <w:spacing w:after="0" w:line="240" w:lineRule="auto"/>
              <w:jc w:val="both"/>
              <w:rPr>
                <w:rFonts w:ascii="Times New Roman" w:hAnsi="Times New Roman" w:cs="Times New Roman"/>
                <w:b/>
                <w:noProof/>
                <w:spacing w:val="-4"/>
                <w:sz w:val="20"/>
                <w:szCs w:val="20"/>
              </w:rPr>
            </w:pPr>
            <w:r>
              <w:rPr>
                <w:rFonts w:ascii="Times New Roman" w:hAnsi="Times New Roman" w:cs="Times New Roman"/>
                <w:b/>
                <w:noProof/>
                <w:spacing w:val="-4"/>
                <w:sz w:val="20"/>
                <w:szCs w:val="20"/>
              </w:rPr>
              <w:t>Insurance market</w:t>
            </w:r>
          </w:p>
        </w:tc>
        <w:tc>
          <w:tcPr>
            <w:tcW w:w="1194" w:type="pct"/>
          </w:tcPr>
          <w:p w:rsidR="006C35C4" w:rsidRPr="008F00C9" w:rsidRDefault="00243D64" w:rsidP="0019180E">
            <w:pPr>
              <w:spacing w:after="0" w:line="240" w:lineRule="auto"/>
              <w:jc w:val="both"/>
              <w:rPr>
                <w:rFonts w:ascii="Times New Roman" w:hAnsi="Times New Roman" w:cs="Times New Roman"/>
                <w:b/>
                <w:noProof/>
                <w:spacing w:val="-4"/>
                <w:sz w:val="20"/>
                <w:szCs w:val="20"/>
              </w:rPr>
            </w:pPr>
            <w:r>
              <w:rPr>
                <w:rFonts w:ascii="Times New Roman" w:hAnsi="Times New Roman" w:cs="Times New Roman"/>
                <w:b/>
                <w:noProof/>
                <w:spacing w:val="-4"/>
                <w:sz w:val="20"/>
                <w:szCs w:val="20"/>
              </w:rPr>
              <w:t>Capital market</w:t>
            </w:r>
          </w:p>
        </w:tc>
      </w:tr>
      <w:tr w:rsidR="006C35C4" w:rsidRPr="008F00C9" w:rsidTr="0019180E">
        <w:tc>
          <w:tcPr>
            <w:tcW w:w="1365" w:type="pct"/>
            <w:shd w:val="clear" w:color="auto" w:fill="C2D69B" w:themeFill="accent3" w:themeFillTint="99"/>
          </w:tcPr>
          <w:p w:rsidR="006C35C4" w:rsidRPr="008F00C9" w:rsidRDefault="006C35C4" w:rsidP="0019180E">
            <w:pPr>
              <w:spacing w:after="0" w:line="240" w:lineRule="auto"/>
              <w:jc w:val="both"/>
              <w:rPr>
                <w:rFonts w:ascii="Times New Roman" w:hAnsi="Times New Roman" w:cs="Times New Roman"/>
                <w:noProof/>
                <w:spacing w:val="-4"/>
                <w:sz w:val="20"/>
                <w:szCs w:val="20"/>
              </w:rPr>
            </w:pPr>
            <w:r w:rsidRPr="008F00C9">
              <w:rPr>
                <w:rFonts w:ascii="Times New Roman" w:hAnsi="Times New Roman" w:cs="Times New Roman"/>
                <w:noProof/>
                <w:spacing w:val="-4"/>
                <w:sz w:val="20"/>
                <w:szCs w:val="20"/>
              </w:rPr>
              <w:t>SUA</w:t>
            </w:r>
          </w:p>
        </w:tc>
        <w:tc>
          <w:tcPr>
            <w:tcW w:w="950" w:type="pct"/>
          </w:tcPr>
          <w:p w:rsidR="006C35C4" w:rsidRPr="008F00C9" w:rsidRDefault="006C35C4" w:rsidP="0019180E">
            <w:pPr>
              <w:spacing w:after="0" w:line="240" w:lineRule="auto"/>
              <w:jc w:val="both"/>
              <w:rPr>
                <w:rFonts w:ascii="Times New Roman" w:hAnsi="Times New Roman" w:cs="Times New Roman"/>
                <w:noProof/>
                <w:spacing w:val="-4"/>
                <w:sz w:val="20"/>
                <w:szCs w:val="20"/>
              </w:rPr>
            </w:pPr>
            <w:r w:rsidRPr="008F00C9">
              <w:rPr>
                <w:rFonts w:ascii="Times New Roman" w:hAnsi="Times New Roman" w:cs="Times New Roman"/>
                <w:sz w:val="20"/>
                <w:szCs w:val="20"/>
              </w:rPr>
              <w:t>Federal Reserve Bank (FED)</w:t>
            </w:r>
          </w:p>
        </w:tc>
        <w:tc>
          <w:tcPr>
            <w:tcW w:w="2685" w:type="pct"/>
            <w:gridSpan w:val="2"/>
            <w:shd w:val="clear" w:color="auto" w:fill="C2D69B" w:themeFill="accent3" w:themeFillTint="99"/>
          </w:tcPr>
          <w:p w:rsidR="006C35C4" w:rsidRPr="008F00C9" w:rsidRDefault="006C35C4" w:rsidP="0019180E">
            <w:pPr>
              <w:spacing w:after="0" w:line="240" w:lineRule="auto"/>
              <w:jc w:val="both"/>
              <w:rPr>
                <w:rFonts w:ascii="Times New Roman" w:hAnsi="Times New Roman" w:cs="Times New Roman"/>
                <w:sz w:val="20"/>
                <w:szCs w:val="20"/>
              </w:rPr>
            </w:pPr>
            <w:r w:rsidRPr="008F00C9">
              <w:rPr>
                <w:rFonts w:ascii="Times New Roman" w:hAnsi="Times New Roman" w:cs="Times New Roman"/>
                <w:sz w:val="20"/>
                <w:szCs w:val="20"/>
              </w:rPr>
              <w:t>Securities and Exchange Commission (SEC) – 1934</w:t>
            </w:r>
          </w:p>
          <w:p w:rsidR="006C35C4" w:rsidRPr="008F00C9" w:rsidRDefault="006C35C4" w:rsidP="0019180E">
            <w:pPr>
              <w:spacing w:after="0" w:line="240" w:lineRule="auto"/>
              <w:jc w:val="both"/>
              <w:rPr>
                <w:rFonts w:ascii="Times New Roman" w:hAnsi="Times New Roman" w:cs="Times New Roman"/>
                <w:noProof/>
                <w:spacing w:val="-4"/>
                <w:sz w:val="20"/>
                <w:szCs w:val="20"/>
              </w:rPr>
            </w:pPr>
          </w:p>
        </w:tc>
      </w:tr>
      <w:tr w:rsidR="006C35C4" w:rsidRPr="008F00C9" w:rsidTr="0019180E">
        <w:tc>
          <w:tcPr>
            <w:tcW w:w="1365" w:type="pct"/>
            <w:shd w:val="clear" w:color="auto" w:fill="FBD4B4" w:themeFill="accent6" w:themeFillTint="66"/>
          </w:tcPr>
          <w:p w:rsidR="006C35C4" w:rsidRPr="008F00C9" w:rsidRDefault="006C35C4" w:rsidP="0019180E">
            <w:pPr>
              <w:spacing w:after="0" w:line="240" w:lineRule="auto"/>
              <w:jc w:val="both"/>
              <w:rPr>
                <w:rFonts w:ascii="Times New Roman" w:hAnsi="Times New Roman" w:cs="Times New Roman"/>
                <w:noProof/>
                <w:spacing w:val="-4"/>
                <w:sz w:val="20"/>
                <w:szCs w:val="20"/>
              </w:rPr>
            </w:pPr>
            <w:r w:rsidRPr="008F00C9">
              <w:rPr>
                <w:rFonts w:ascii="Times New Roman" w:hAnsi="Times New Roman" w:cs="Times New Roman"/>
                <w:noProof/>
                <w:spacing w:val="-4"/>
                <w:sz w:val="20"/>
                <w:szCs w:val="20"/>
              </w:rPr>
              <w:t>Canada</w:t>
            </w:r>
          </w:p>
        </w:tc>
        <w:tc>
          <w:tcPr>
            <w:tcW w:w="3635" w:type="pct"/>
            <w:gridSpan w:val="3"/>
            <w:shd w:val="clear" w:color="auto" w:fill="FBD4B4" w:themeFill="accent6" w:themeFillTint="66"/>
          </w:tcPr>
          <w:p w:rsidR="006C35C4" w:rsidRPr="008F00C9" w:rsidRDefault="006C35C4" w:rsidP="0019180E">
            <w:pPr>
              <w:spacing w:after="0" w:line="240" w:lineRule="auto"/>
              <w:jc w:val="center"/>
              <w:rPr>
                <w:rFonts w:ascii="Times New Roman" w:hAnsi="Times New Roman" w:cs="Times New Roman"/>
                <w:noProof/>
                <w:spacing w:val="-4"/>
                <w:sz w:val="20"/>
                <w:szCs w:val="20"/>
              </w:rPr>
            </w:pPr>
            <w:r w:rsidRPr="008F00C9">
              <w:rPr>
                <w:rFonts w:ascii="Times New Roman" w:hAnsi="Times New Roman" w:cs="Times New Roman"/>
                <w:noProof/>
                <w:spacing w:val="-4"/>
                <w:sz w:val="20"/>
                <w:szCs w:val="20"/>
              </w:rPr>
              <w:t>Biroul de Supraveghere a Instituţiilor Financiare</w:t>
            </w:r>
          </w:p>
        </w:tc>
      </w:tr>
      <w:tr w:rsidR="006C35C4" w:rsidRPr="008F00C9" w:rsidTr="0019180E">
        <w:tc>
          <w:tcPr>
            <w:tcW w:w="1365" w:type="pct"/>
            <w:shd w:val="clear" w:color="auto" w:fill="FBD4B4" w:themeFill="accent6" w:themeFillTint="66"/>
          </w:tcPr>
          <w:p w:rsidR="006C35C4" w:rsidRPr="008F00C9" w:rsidRDefault="006C35C4" w:rsidP="0019180E">
            <w:pPr>
              <w:spacing w:after="0" w:line="240" w:lineRule="auto"/>
              <w:jc w:val="both"/>
              <w:rPr>
                <w:rFonts w:ascii="Times New Roman" w:hAnsi="Times New Roman" w:cs="Times New Roman"/>
                <w:noProof/>
                <w:spacing w:val="-4"/>
                <w:sz w:val="20"/>
                <w:szCs w:val="20"/>
              </w:rPr>
            </w:pPr>
            <w:r w:rsidRPr="008F00C9">
              <w:rPr>
                <w:rFonts w:ascii="Times New Roman" w:hAnsi="Times New Roman" w:cs="Times New Roman"/>
                <w:noProof/>
                <w:spacing w:val="-4"/>
                <w:sz w:val="20"/>
                <w:szCs w:val="20"/>
              </w:rPr>
              <w:t>Japan</w:t>
            </w:r>
          </w:p>
        </w:tc>
        <w:tc>
          <w:tcPr>
            <w:tcW w:w="3635" w:type="pct"/>
            <w:gridSpan w:val="3"/>
            <w:shd w:val="clear" w:color="auto" w:fill="FBD4B4" w:themeFill="accent6" w:themeFillTint="66"/>
          </w:tcPr>
          <w:p w:rsidR="006C35C4" w:rsidRPr="008F00C9" w:rsidRDefault="006C35C4" w:rsidP="0019180E">
            <w:pPr>
              <w:spacing w:after="0" w:line="240" w:lineRule="auto"/>
              <w:jc w:val="center"/>
              <w:rPr>
                <w:rFonts w:ascii="Times New Roman" w:hAnsi="Times New Roman" w:cs="Times New Roman"/>
                <w:noProof/>
                <w:spacing w:val="-4"/>
                <w:sz w:val="20"/>
                <w:szCs w:val="20"/>
              </w:rPr>
            </w:pPr>
            <w:r w:rsidRPr="008F00C9">
              <w:rPr>
                <w:rFonts w:ascii="Times New Roman" w:hAnsi="Times New Roman" w:cs="Times New Roman"/>
                <w:noProof/>
                <w:spacing w:val="-4"/>
                <w:sz w:val="20"/>
                <w:szCs w:val="20"/>
              </w:rPr>
              <w:t>Integrated Financial Regulator</w:t>
            </w:r>
          </w:p>
        </w:tc>
      </w:tr>
      <w:tr w:rsidR="006C35C4" w:rsidRPr="008F00C9" w:rsidTr="0019180E">
        <w:tc>
          <w:tcPr>
            <w:tcW w:w="1365" w:type="pct"/>
            <w:shd w:val="clear" w:color="auto" w:fill="FBD4B4" w:themeFill="accent6" w:themeFillTint="66"/>
          </w:tcPr>
          <w:p w:rsidR="006C35C4" w:rsidRPr="008F00C9" w:rsidRDefault="006C35C4" w:rsidP="0019180E">
            <w:pPr>
              <w:spacing w:after="0" w:line="240" w:lineRule="auto"/>
              <w:jc w:val="both"/>
              <w:rPr>
                <w:rFonts w:ascii="Times New Roman" w:hAnsi="Times New Roman" w:cs="Times New Roman"/>
                <w:noProof/>
                <w:spacing w:val="-4"/>
                <w:sz w:val="20"/>
                <w:szCs w:val="20"/>
              </w:rPr>
            </w:pPr>
            <w:r w:rsidRPr="008F00C9">
              <w:rPr>
                <w:rFonts w:ascii="Times New Roman" w:hAnsi="Times New Roman" w:cs="Times New Roman"/>
                <w:noProof/>
                <w:spacing w:val="-4"/>
                <w:sz w:val="20"/>
                <w:szCs w:val="20"/>
              </w:rPr>
              <w:t>Korea</w:t>
            </w:r>
          </w:p>
        </w:tc>
        <w:tc>
          <w:tcPr>
            <w:tcW w:w="3635" w:type="pct"/>
            <w:gridSpan w:val="3"/>
            <w:shd w:val="clear" w:color="auto" w:fill="FBD4B4" w:themeFill="accent6" w:themeFillTint="66"/>
          </w:tcPr>
          <w:p w:rsidR="006C35C4" w:rsidRPr="008F00C9" w:rsidRDefault="006C35C4" w:rsidP="0019180E">
            <w:pPr>
              <w:spacing w:after="0" w:line="240" w:lineRule="auto"/>
              <w:jc w:val="center"/>
              <w:rPr>
                <w:rFonts w:ascii="Times New Roman" w:hAnsi="Times New Roman" w:cs="Times New Roman"/>
                <w:noProof/>
                <w:spacing w:val="-4"/>
                <w:sz w:val="20"/>
                <w:szCs w:val="20"/>
              </w:rPr>
            </w:pPr>
            <w:r w:rsidRPr="008F00C9">
              <w:rPr>
                <w:rFonts w:ascii="Times New Roman" w:hAnsi="Times New Roman" w:cs="Times New Roman"/>
                <w:noProof/>
                <w:spacing w:val="-4"/>
                <w:sz w:val="20"/>
                <w:szCs w:val="20"/>
              </w:rPr>
              <w:t>Integrated Financial Regulator</w:t>
            </w:r>
          </w:p>
        </w:tc>
      </w:tr>
      <w:tr w:rsidR="006C35C4" w:rsidRPr="008F00C9" w:rsidTr="0019180E">
        <w:tc>
          <w:tcPr>
            <w:tcW w:w="1365" w:type="pct"/>
            <w:shd w:val="clear" w:color="auto" w:fill="FBD4B4" w:themeFill="accent6" w:themeFillTint="66"/>
          </w:tcPr>
          <w:p w:rsidR="006C35C4" w:rsidRPr="008F00C9" w:rsidRDefault="006C35C4" w:rsidP="0019180E">
            <w:pPr>
              <w:spacing w:after="0" w:line="240" w:lineRule="auto"/>
              <w:jc w:val="both"/>
              <w:rPr>
                <w:rFonts w:ascii="Times New Roman" w:hAnsi="Times New Roman" w:cs="Times New Roman"/>
                <w:noProof/>
                <w:spacing w:val="-4"/>
                <w:sz w:val="20"/>
                <w:szCs w:val="20"/>
              </w:rPr>
            </w:pPr>
            <w:r w:rsidRPr="008F00C9">
              <w:rPr>
                <w:rFonts w:ascii="Times New Roman" w:hAnsi="Times New Roman" w:cs="Times New Roman"/>
                <w:noProof/>
                <w:spacing w:val="-4"/>
                <w:sz w:val="20"/>
                <w:szCs w:val="20"/>
              </w:rPr>
              <w:t>Singapore</w:t>
            </w:r>
          </w:p>
        </w:tc>
        <w:tc>
          <w:tcPr>
            <w:tcW w:w="3635" w:type="pct"/>
            <w:gridSpan w:val="3"/>
            <w:shd w:val="clear" w:color="auto" w:fill="FBD4B4" w:themeFill="accent6" w:themeFillTint="66"/>
          </w:tcPr>
          <w:p w:rsidR="006C35C4" w:rsidRPr="008F00C9" w:rsidRDefault="006C35C4" w:rsidP="0019180E">
            <w:pPr>
              <w:spacing w:after="0" w:line="240" w:lineRule="auto"/>
              <w:jc w:val="center"/>
              <w:rPr>
                <w:rFonts w:ascii="Times New Roman" w:hAnsi="Times New Roman" w:cs="Times New Roman"/>
                <w:noProof/>
                <w:spacing w:val="-4"/>
                <w:sz w:val="20"/>
                <w:szCs w:val="20"/>
              </w:rPr>
            </w:pPr>
            <w:r w:rsidRPr="008F00C9">
              <w:rPr>
                <w:rFonts w:ascii="Times New Roman" w:hAnsi="Times New Roman" w:cs="Times New Roman"/>
                <w:noProof/>
                <w:spacing w:val="-4"/>
                <w:sz w:val="20"/>
                <w:szCs w:val="20"/>
              </w:rPr>
              <w:t>Integrated Financial Regulator</w:t>
            </w:r>
          </w:p>
        </w:tc>
      </w:tr>
      <w:tr w:rsidR="006C35C4" w:rsidRPr="008F00C9" w:rsidTr="0019180E">
        <w:tc>
          <w:tcPr>
            <w:tcW w:w="1365" w:type="pct"/>
            <w:shd w:val="clear" w:color="auto" w:fill="C2D69B" w:themeFill="accent3" w:themeFillTint="99"/>
          </w:tcPr>
          <w:p w:rsidR="006C35C4" w:rsidRPr="008F00C9" w:rsidRDefault="006C35C4" w:rsidP="0019180E">
            <w:pPr>
              <w:spacing w:after="0" w:line="240" w:lineRule="auto"/>
              <w:jc w:val="both"/>
              <w:rPr>
                <w:rFonts w:ascii="Times New Roman" w:hAnsi="Times New Roman" w:cs="Times New Roman"/>
                <w:noProof/>
                <w:spacing w:val="-4"/>
                <w:sz w:val="20"/>
                <w:szCs w:val="20"/>
              </w:rPr>
            </w:pPr>
            <w:r w:rsidRPr="008F00C9">
              <w:rPr>
                <w:rFonts w:ascii="Times New Roman" w:hAnsi="Times New Roman" w:cs="Times New Roman"/>
                <w:noProof/>
                <w:spacing w:val="-4"/>
                <w:sz w:val="20"/>
                <w:szCs w:val="20"/>
              </w:rPr>
              <w:t>Australia</w:t>
            </w:r>
          </w:p>
        </w:tc>
        <w:tc>
          <w:tcPr>
            <w:tcW w:w="950" w:type="pct"/>
          </w:tcPr>
          <w:p w:rsidR="006C35C4" w:rsidRPr="008F00C9" w:rsidRDefault="006C35C4" w:rsidP="0019180E">
            <w:pPr>
              <w:spacing w:after="0" w:line="240" w:lineRule="auto"/>
              <w:jc w:val="both"/>
              <w:rPr>
                <w:rFonts w:ascii="Times New Roman" w:hAnsi="Times New Roman" w:cs="Times New Roman"/>
                <w:noProof/>
                <w:spacing w:val="-4"/>
                <w:sz w:val="20"/>
                <w:szCs w:val="20"/>
              </w:rPr>
            </w:pPr>
            <w:r w:rsidRPr="008F00C9">
              <w:rPr>
                <w:rFonts w:ascii="Times New Roman" w:hAnsi="Times New Roman" w:cs="Times New Roman"/>
                <w:noProof/>
                <w:spacing w:val="-4"/>
                <w:sz w:val="20"/>
                <w:szCs w:val="20"/>
              </w:rPr>
              <w:t>Banca Centrală a Australiei</w:t>
            </w:r>
          </w:p>
        </w:tc>
        <w:tc>
          <w:tcPr>
            <w:tcW w:w="2685" w:type="pct"/>
            <w:gridSpan w:val="2"/>
            <w:shd w:val="clear" w:color="auto" w:fill="C2D69B" w:themeFill="accent3" w:themeFillTint="99"/>
          </w:tcPr>
          <w:p w:rsidR="006C35C4" w:rsidRPr="008F00C9" w:rsidRDefault="006C35C4" w:rsidP="0019180E">
            <w:pPr>
              <w:spacing w:after="0" w:line="240" w:lineRule="auto"/>
              <w:jc w:val="both"/>
              <w:rPr>
                <w:rFonts w:ascii="Times New Roman" w:hAnsi="Times New Roman" w:cs="Times New Roman"/>
                <w:noProof/>
                <w:spacing w:val="-4"/>
                <w:sz w:val="20"/>
                <w:szCs w:val="20"/>
              </w:rPr>
            </w:pPr>
            <w:r w:rsidRPr="008F00C9">
              <w:rPr>
                <w:rFonts w:ascii="Times New Roman" w:hAnsi="Times New Roman" w:cs="Times New Roman"/>
                <w:noProof/>
                <w:spacing w:val="-4"/>
                <w:sz w:val="20"/>
                <w:szCs w:val="20"/>
              </w:rPr>
              <w:t>Comisia pentru Valori Mobiliare şi Investiţii (ASIC) şi Autoritatea pentru Reglementare Prudenţială (APRA)</w:t>
            </w:r>
          </w:p>
        </w:tc>
      </w:tr>
      <w:tr w:rsidR="006C35C4" w:rsidRPr="008F00C9" w:rsidTr="0019180E">
        <w:tc>
          <w:tcPr>
            <w:tcW w:w="1365" w:type="pct"/>
            <w:shd w:val="clear" w:color="auto" w:fill="FBD4B4" w:themeFill="accent6" w:themeFillTint="66"/>
          </w:tcPr>
          <w:p w:rsidR="006C35C4" w:rsidRPr="008F00C9" w:rsidRDefault="006C35C4" w:rsidP="0019180E">
            <w:pPr>
              <w:spacing w:after="0" w:line="240" w:lineRule="auto"/>
              <w:jc w:val="both"/>
              <w:rPr>
                <w:rFonts w:ascii="Times New Roman" w:hAnsi="Times New Roman" w:cs="Times New Roman"/>
                <w:b/>
                <w:noProof/>
                <w:spacing w:val="-4"/>
                <w:sz w:val="20"/>
                <w:szCs w:val="20"/>
              </w:rPr>
            </w:pPr>
            <w:r w:rsidRPr="008F00C9">
              <w:rPr>
                <w:rFonts w:ascii="Times New Roman" w:hAnsi="Times New Roman" w:cs="Times New Roman"/>
                <w:b/>
                <w:noProof/>
                <w:spacing w:val="-4"/>
                <w:sz w:val="20"/>
                <w:szCs w:val="20"/>
              </w:rPr>
              <w:t>Europe</w:t>
            </w:r>
          </w:p>
        </w:tc>
        <w:tc>
          <w:tcPr>
            <w:tcW w:w="3635" w:type="pct"/>
            <w:gridSpan w:val="3"/>
            <w:shd w:val="clear" w:color="auto" w:fill="FBD4B4" w:themeFill="accent6" w:themeFillTint="66"/>
          </w:tcPr>
          <w:p w:rsidR="006C35C4" w:rsidRPr="008F00C9" w:rsidRDefault="006C35C4" w:rsidP="0019180E">
            <w:pPr>
              <w:spacing w:after="0" w:line="240" w:lineRule="auto"/>
              <w:jc w:val="center"/>
              <w:rPr>
                <w:rFonts w:ascii="Times New Roman" w:hAnsi="Times New Roman" w:cs="Times New Roman"/>
                <w:noProof/>
                <w:spacing w:val="-4"/>
                <w:sz w:val="20"/>
                <w:szCs w:val="20"/>
              </w:rPr>
            </w:pPr>
            <w:r w:rsidRPr="008F00C9">
              <w:rPr>
                <w:rFonts w:ascii="Times New Roman" w:hAnsi="Times New Roman" w:cs="Times New Roman"/>
                <w:noProof/>
                <w:spacing w:val="-4"/>
                <w:sz w:val="20"/>
                <w:szCs w:val="20"/>
              </w:rPr>
              <w:t>Autoritatea Europeană de Supraveghere (AES)</w:t>
            </w:r>
          </w:p>
        </w:tc>
      </w:tr>
    </w:tbl>
    <w:p w:rsidR="006C35C4" w:rsidRPr="008F00C9" w:rsidRDefault="009B1B06" w:rsidP="006C35C4">
      <w:pPr>
        <w:spacing w:after="120" w:line="336" w:lineRule="auto"/>
        <w:jc w:val="center"/>
        <w:rPr>
          <w:rFonts w:ascii="Times New Roman" w:eastAsia="Times New Roman" w:hAnsi="Times New Roman" w:cs="Times New Roman"/>
          <w:noProof/>
          <w:color w:val="000000"/>
          <w:spacing w:val="-2"/>
          <w:sz w:val="20"/>
          <w:szCs w:val="20"/>
        </w:rPr>
      </w:pPr>
      <w:r w:rsidRPr="008F00C9">
        <w:rPr>
          <w:rFonts w:ascii="Times New Roman" w:eastAsia="Times New Roman" w:hAnsi="Times New Roman" w:cs="Times New Roman"/>
          <w:noProof/>
          <w:color w:val="000000"/>
          <w:spacing w:val="-2"/>
          <w:sz w:val="20"/>
          <w:szCs w:val="20"/>
        </w:rPr>
        <w:t>Source</w:t>
      </w:r>
      <w:r w:rsidR="006C35C4" w:rsidRPr="008F00C9">
        <w:rPr>
          <w:rFonts w:ascii="Times New Roman" w:eastAsia="Times New Roman" w:hAnsi="Times New Roman" w:cs="Times New Roman"/>
          <w:noProof/>
          <w:color w:val="000000"/>
          <w:spacing w:val="-2"/>
          <w:sz w:val="20"/>
          <w:szCs w:val="20"/>
        </w:rPr>
        <w:t xml:space="preserve">: </w:t>
      </w:r>
      <w:r w:rsidRPr="008F00C9">
        <w:rPr>
          <w:rFonts w:ascii="Times New Roman" w:eastAsia="Times New Roman" w:hAnsi="Times New Roman" w:cs="Times New Roman"/>
          <w:noProof/>
          <w:color w:val="000000"/>
          <w:spacing w:val="-2"/>
          <w:sz w:val="20"/>
          <w:szCs w:val="20"/>
        </w:rPr>
        <w:t>author’s own processing</w:t>
      </w:r>
      <w:r w:rsidR="006C35C4" w:rsidRPr="008F00C9">
        <w:rPr>
          <w:rFonts w:ascii="Times New Roman" w:eastAsia="Times New Roman" w:hAnsi="Times New Roman" w:cs="Times New Roman"/>
          <w:noProof/>
          <w:color w:val="000000"/>
          <w:spacing w:val="-2"/>
          <w:sz w:val="20"/>
          <w:szCs w:val="20"/>
        </w:rPr>
        <w:t xml:space="preserve"> </w:t>
      </w:r>
      <w:r w:rsidR="0096396D" w:rsidRPr="008F00C9">
        <w:rPr>
          <w:rFonts w:ascii="Times New Roman" w:eastAsia="Times New Roman" w:hAnsi="Times New Roman" w:cs="Times New Roman"/>
          <w:noProof/>
          <w:color w:val="000000"/>
          <w:spacing w:val="-2"/>
          <w:sz w:val="20"/>
          <w:szCs w:val="20"/>
        </w:rPr>
        <w:t>following</w:t>
      </w:r>
      <w:r w:rsidR="006C35C4" w:rsidRPr="008F00C9">
        <w:rPr>
          <w:rFonts w:ascii="Times New Roman" w:eastAsia="Times New Roman" w:hAnsi="Times New Roman" w:cs="Times New Roman"/>
          <w:noProof/>
          <w:color w:val="000000"/>
          <w:spacing w:val="-2"/>
          <w:sz w:val="20"/>
          <w:szCs w:val="20"/>
        </w:rPr>
        <w:t xml:space="preserve"> ASF </w:t>
      </w:r>
      <w:r w:rsidR="00AA6AF3" w:rsidRPr="008F00C9">
        <w:rPr>
          <w:rFonts w:ascii="Times New Roman" w:eastAsia="Times New Roman" w:hAnsi="Times New Roman" w:cs="Times New Roman"/>
          <w:noProof/>
          <w:color w:val="000000"/>
          <w:spacing w:val="-2"/>
          <w:sz w:val="20"/>
          <w:szCs w:val="20"/>
        </w:rPr>
        <w:t xml:space="preserve">data </w:t>
      </w:r>
      <w:r w:rsidR="0096396D" w:rsidRPr="008F00C9">
        <w:rPr>
          <w:rFonts w:ascii="Times New Roman" w:eastAsia="Times New Roman" w:hAnsi="Times New Roman" w:cs="Times New Roman"/>
          <w:noProof/>
          <w:color w:val="000000"/>
          <w:spacing w:val="-2"/>
          <w:sz w:val="20"/>
          <w:szCs w:val="20"/>
        </w:rPr>
        <w:t>and</w:t>
      </w:r>
      <w:r w:rsidR="006C35C4" w:rsidRPr="008F00C9">
        <w:rPr>
          <w:rFonts w:ascii="Times New Roman" w:eastAsia="Times New Roman" w:hAnsi="Times New Roman" w:cs="Times New Roman"/>
          <w:noProof/>
          <w:color w:val="000000"/>
          <w:spacing w:val="-2"/>
          <w:sz w:val="20"/>
          <w:szCs w:val="20"/>
        </w:rPr>
        <w:t xml:space="preserve"> </w:t>
      </w:r>
      <w:sdt>
        <w:sdtPr>
          <w:rPr>
            <w:rFonts w:ascii="Times New Roman" w:eastAsia="Times New Roman" w:hAnsi="Times New Roman" w:cs="Times New Roman"/>
            <w:noProof/>
            <w:color w:val="000000"/>
            <w:spacing w:val="-2"/>
            <w:sz w:val="20"/>
            <w:szCs w:val="20"/>
          </w:rPr>
          <w:id w:val="4758828"/>
          <w:citation/>
        </w:sdtPr>
        <w:sdtContent>
          <w:r w:rsidR="004B4616" w:rsidRPr="008F00C9">
            <w:rPr>
              <w:rFonts w:ascii="Times New Roman" w:eastAsia="Times New Roman" w:hAnsi="Times New Roman" w:cs="Times New Roman"/>
              <w:noProof/>
              <w:color w:val="000000"/>
              <w:spacing w:val="-2"/>
              <w:sz w:val="20"/>
              <w:szCs w:val="20"/>
            </w:rPr>
            <w:fldChar w:fldCharType="begin"/>
          </w:r>
          <w:r w:rsidR="006C35C4" w:rsidRPr="008F00C9">
            <w:rPr>
              <w:rFonts w:ascii="Times New Roman" w:eastAsia="Times New Roman" w:hAnsi="Times New Roman" w:cs="Times New Roman"/>
              <w:noProof/>
              <w:color w:val="000000"/>
              <w:spacing w:val="-2"/>
              <w:sz w:val="20"/>
              <w:szCs w:val="20"/>
            </w:rPr>
            <w:instrText xml:space="preserve"> CITATION Tayep \l 1048 </w:instrText>
          </w:r>
          <w:r w:rsidR="004B4616" w:rsidRPr="008F00C9">
            <w:rPr>
              <w:rFonts w:ascii="Times New Roman" w:eastAsia="Times New Roman" w:hAnsi="Times New Roman" w:cs="Times New Roman"/>
              <w:noProof/>
              <w:color w:val="000000"/>
              <w:spacing w:val="-2"/>
              <w:sz w:val="20"/>
              <w:szCs w:val="20"/>
            </w:rPr>
            <w:fldChar w:fldCharType="separate"/>
          </w:r>
          <w:r w:rsidR="006C35C4" w:rsidRPr="008F00C9">
            <w:rPr>
              <w:rFonts w:ascii="Times New Roman" w:eastAsia="Times New Roman" w:hAnsi="Times New Roman" w:cs="Times New Roman"/>
              <w:noProof/>
              <w:color w:val="000000"/>
              <w:spacing w:val="-2"/>
              <w:sz w:val="20"/>
              <w:szCs w:val="20"/>
            </w:rPr>
            <w:t>(Taylor &amp; Fleming 1999 Sep.)</w:t>
          </w:r>
          <w:r w:rsidR="004B4616" w:rsidRPr="008F00C9">
            <w:rPr>
              <w:rFonts w:ascii="Times New Roman" w:eastAsia="Times New Roman" w:hAnsi="Times New Roman" w:cs="Times New Roman"/>
              <w:noProof/>
              <w:color w:val="000000"/>
              <w:spacing w:val="-2"/>
              <w:sz w:val="20"/>
              <w:szCs w:val="20"/>
            </w:rPr>
            <w:fldChar w:fldCharType="end"/>
          </w:r>
        </w:sdtContent>
      </w:sdt>
      <w:r w:rsidR="0096396D" w:rsidRPr="008F00C9">
        <w:rPr>
          <w:rFonts w:ascii="Times New Roman" w:eastAsia="Times New Roman" w:hAnsi="Times New Roman" w:cs="Times New Roman"/>
          <w:noProof/>
          <w:color w:val="000000"/>
          <w:spacing w:val="-2"/>
          <w:sz w:val="20"/>
          <w:szCs w:val="20"/>
        </w:rPr>
        <w:t xml:space="preserve"> </w:t>
      </w:r>
    </w:p>
    <w:p w:rsidR="00210932" w:rsidRPr="00C24678" w:rsidRDefault="00AA6AF3" w:rsidP="00C24678">
      <w:pPr>
        <w:spacing w:after="120" w:line="240" w:lineRule="auto"/>
        <w:jc w:val="both"/>
        <w:rPr>
          <w:rFonts w:ascii="Times New Roman" w:hAnsi="Times New Roman" w:cs="Times New Roman"/>
          <w:sz w:val="24"/>
          <w:szCs w:val="24"/>
        </w:rPr>
      </w:pPr>
      <w:r w:rsidRPr="008F00C9">
        <w:rPr>
          <w:rFonts w:ascii="Times New Roman" w:hAnsi="Times New Roman" w:cs="Times New Roman"/>
          <w:sz w:val="24"/>
          <w:szCs w:val="24"/>
        </w:rPr>
        <w:t>Implementing single supervisory system through the establishment of</w:t>
      </w:r>
      <w:r w:rsidRPr="008F00C9">
        <w:rPr>
          <w:rFonts w:ascii="Arial" w:hAnsi="Arial" w:cs="Arial"/>
          <w:color w:val="212121"/>
          <w:sz w:val="17"/>
          <w:szCs w:val="17"/>
          <w:shd w:val="clear" w:color="auto" w:fill="FFFFFF"/>
        </w:rPr>
        <w:t xml:space="preserve"> </w:t>
      </w:r>
      <w:r w:rsidRPr="008F00C9">
        <w:rPr>
          <w:rFonts w:ascii="Times New Roman" w:hAnsi="Times New Roman" w:cs="Times New Roman"/>
          <w:sz w:val="24"/>
          <w:szCs w:val="24"/>
        </w:rPr>
        <w:t>Financial Supervisory Authorities took over all the</w:t>
      </w:r>
      <w:r w:rsidRPr="008F00C9">
        <w:rPr>
          <w:rFonts w:ascii="Arial" w:hAnsi="Arial" w:cs="Arial"/>
          <w:color w:val="212121"/>
          <w:sz w:val="17"/>
          <w:szCs w:val="17"/>
          <w:shd w:val="clear" w:color="auto" w:fill="FFFFFF"/>
        </w:rPr>
        <w:t xml:space="preserve"> </w:t>
      </w:r>
      <w:r w:rsidRPr="008F00C9">
        <w:rPr>
          <w:rFonts w:ascii="Times New Roman" w:hAnsi="Times New Roman" w:cs="Times New Roman"/>
          <w:sz w:val="24"/>
          <w:szCs w:val="24"/>
        </w:rPr>
        <w:t>functions and powers of regulation, authorization and establishment of institutions involved in the market of collective investment undertakings.</w:t>
      </w:r>
    </w:p>
    <w:p w:rsidR="00210932" w:rsidRPr="00210932" w:rsidRDefault="00210932" w:rsidP="0021093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recent updates</w:t>
      </w:r>
      <w:r w:rsidRPr="00210932">
        <w:rPr>
          <w:rFonts w:ascii="Times New Roman" w:hAnsi="Times New Roman" w:cs="Times New Roman"/>
          <w:sz w:val="24"/>
          <w:szCs w:val="24"/>
        </w:rPr>
        <w:t xml:space="preserve"> occurring in the entire financial system </w:t>
      </w:r>
      <w:r w:rsidR="008E6F0E">
        <w:rPr>
          <w:rFonts w:ascii="Times New Roman" w:hAnsi="Times New Roman" w:cs="Times New Roman"/>
          <w:sz w:val="24"/>
          <w:szCs w:val="24"/>
        </w:rPr>
        <w:t>aside to</w:t>
      </w:r>
      <w:r w:rsidRPr="00210932">
        <w:rPr>
          <w:rFonts w:ascii="Times New Roman" w:hAnsi="Times New Roman" w:cs="Times New Roman"/>
          <w:sz w:val="24"/>
          <w:szCs w:val="24"/>
        </w:rPr>
        <w:t xml:space="preserve"> </w:t>
      </w:r>
      <w:r w:rsidR="008E6F0E" w:rsidRPr="00210932">
        <w:rPr>
          <w:rFonts w:ascii="Times New Roman" w:hAnsi="Times New Roman" w:cs="Times New Roman"/>
          <w:sz w:val="24"/>
          <w:szCs w:val="24"/>
        </w:rPr>
        <w:t xml:space="preserve">European market surveillance architecture </w:t>
      </w:r>
      <w:r w:rsidRPr="00210932">
        <w:rPr>
          <w:rFonts w:ascii="Times New Roman" w:hAnsi="Times New Roman" w:cs="Times New Roman"/>
          <w:sz w:val="24"/>
          <w:szCs w:val="24"/>
        </w:rPr>
        <w:t xml:space="preserve">reconfiguring by establishing a unique type of financial </w:t>
      </w:r>
      <w:r w:rsidR="008E6F0E" w:rsidRPr="00210932">
        <w:rPr>
          <w:rFonts w:ascii="Times New Roman" w:hAnsi="Times New Roman" w:cs="Times New Roman"/>
          <w:sz w:val="24"/>
          <w:szCs w:val="24"/>
        </w:rPr>
        <w:t>supervisi</w:t>
      </w:r>
      <w:r w:rsidR="008E6F0E">
        <w:rPr>
          <w:rFonts w:ascii="Times New Roman" w:hAnsi="Times New Roman" w:cs="Times New Roman"/>
          <w:sz w:val="24"/>
          <w:szCs w:val="24"/>
        </w:rPr>
        <w:t>on</w:t>
      </w:r>
      <w:r w:rsidRPr="00210932">
        <w:rPr>
          <w:rFonts w:ascii="Times New Roman" w:hAnsi="Times New Roman" w:cs="Times New Roman"/>
          <w:sz w:val="24"/>
          <w:szCs w:val="24"/>
        </w:rPr>
        <w:t xml:space="preserve"> have improved the coordination and information exchange between the markets and </w:t>
      </w:r>
      <w:r w:rsidR="008E6F0E">
        <w:rPr>
          <w:rFonts w:ascii="Times New Roman" w:hAnsi="Times New Roman" w:cs="Times New Roman"/>
          <w:sz w:val="24"/>
          <w:szCs w:val="24"/>
        </w:rPr>
        <w:t xml:space="preserve">among </w:t>
      </w:r>
      <w:r w:rsidRPr="00210932">
        <w:rPr>
          <w:rFonts w:ascii="Times New Roman" w:hAnsi="Times New Roman" w:cs="Times New Roman"/>
          <w:sz w:val="24"/>
          <w:szCs w:val="24"/>
        </w:rPr>
        <w:t xml:space="preserve">the European institutions </w:t>
      </w:r>
      <w:r w:rsidR="008E6F0E">
        <w:rPr>
          <w:rFonts w:ascii="Times New Roman" w:hAnsi="Times New Roman" w:cs="Times New Roman"/>
          <w:sz w:val="24"/>
          <w:szCs w:val="24"/>
        </w:rPr>
        <w:t xml:space="preserve">in order </w:t>
      </w:r>
      <w:r w:rsidRPr="00210932">
        <w:rPr>
          <w:rFonts w:ascii="Times New Roman" w:hAnsi="Times New Roman" w:cs="Times New Roman"/>
          <w:sz w:val="24"/>
          <w:szCs w:val="24"/>
        </w:rPr>
        <w:t xml:space="preserve">to adapt </w:t>
      </w:r>
      <w:r w:rsidR="008E6F0E">
        <w:rPr>
          <w:rFonts w:ascii="Times New Roman" w:hAnsi="Times New Roman" w:cs="Times New Roman"/>
          <w:sz w:val="24"/>
          <w:szCs w:val="24"/>
        </w:rPr>
        <w:t>an</w:t>
      </w:r>
      <w:r w:rsidRPr="00210932">
        <w:rPr>
          <w:rFonts w:ascii="Times New Roman" w:hAnsi="Times New Roman" w:cs="Times New Roman"/>
          <w:sz w:val="24"/>
          <w:szCs w:val="24"/>
        </w:rPr>
        <w:t xml:space="preserve"> effective implementation of European legislation in </w:t>
      </w:r>
      <w:r w:rsidR="008E6F0E">
        <w:rPr>
          <w:rFonts w:ascii="Times New Roman" w:hAnsi="Times New Roman" w:cs="Times New Roman"/>
          <w:sz w:val="24"/>
          <w:szCs w:val="24"/>
        </w:rPr>
        <w:t xml:space="preserve">all the EU </w:t>
      </w:r>
      <w:r w:rsidRPr="00210932">
        <w:rPr>
          <w:rFonts w:ascii="Times New Roman" w:hAnsi="Times New Roman" w:cs="Times New Roman"/>
          <w:sz w:val="24"/>
          <w:szCs w:val="24"/>
        </w:rPr>
        <w:t>Member States.</w:t>
      </w:r>
    </w:p>
    <w:p w:rsidR="008E6F0E" w:rsidRPr="008E6F0E" w:rsidRDefault="008E6F0E" w:rsidP="008E6F0E">
      <w:pPr>
        <w:pStyle w:val="Caption"/>
        <w:spacing w:before="0" w:beforeAutospacing="0" w:after="120" w:afterAutospacing="0"/>
        <w:jc w:val="both"/>
        <w:rPr>
          <w:noProof/>
          <w:spacing w:val="-4"/>
        </w:rPr>
      </w:pPr>
      <w:r>
        <w:rPr>
          <w:noProof/>
          <w:spacing w:val="-4"/>
        </w:rPr>
        <w:t>Following the European path</w:t>
      </w:r>
      <w:r w:rsidRPr="008E6F0E">
        <w:rPr>
          <w:noProof/>
          <w:spacing w:val="-4"/>
        </w:rPr>
        <w:t xml:space="preserve">, Romania launched </w:t>
      </w:r>
      <w:r>
        <w:rPr>
          <w:noProof/>
          <w:spacing w:val="-4"/>
        </w:rPr>
        <w:t xml:space="preserve">in </w:t>
      </w:r>
      <w:r w:rsidRPr="008E6F0E">
        <w:rPr>
          <w:noProof/>
          <w:spacing w:val="-4"/>
        </w:rPr>
        <w:t xml:space="preserve">2012 </w:t>
      </w:r>
      <w:r>
        <w:rPr>
          <w:noProof/>
          <w:spacing w:val="-4"/>
        </w:rPr>
        <w:t xml:space="preserve">the </w:t>
      </w:r>
      <w:r w:rsidRPr="008E6F0E">
        <w:rPr>
          <w:noProof/>
          <w:spacing w:val="-4"/>
        </w:rPr>
        <w:t xml:space="preserve">unification project </w:t>
      </w:r>
      <w:r>
        <w:rPr>
          <w:noProof/>
          <w:spacing w:val="-4"/>
        </w:rPr>
        <w:t xml:space="preserve">over the capital market regulatory </w:t>
      </w:r>
      <w:r w:rsidRPr="008E6F0E">
        <w:rPr>
          <w:noProof/>
          <w:spacing w:val="-4"/>
        </w:rPr>
        <w:t xml:space="preserve">under an independent authority </w:t>
      </w:r>
      <w:r>
        <w:rPr>
          <w:noProof/>
          <w:spacing w:val="-4"/>
        </w:rPr>
        <w:t xml:space="preserve">i.e. </w:t>
      </w:r>
      <w:r w:rsidRPr="008E6F0E">
        <w:rPr>
          <w:noProof/>
          <w:spacing w:val="-4"/>
        </w:rPr>
        <w:t>Financial S</w:t>
      </w:r>
      <w:r w:rsidR="00C24678">
        <w:rPr>
          <w:noProof/>
          <w:spacing w:val="-4"/>
        </w:rPr>
        <w:t>upervisory Authority of Romania</w:t>
      </w:r>
      <w:r w:rsidRPr="008E6F0E">
        <w:rPr>
          <w:noProof/>
          <w:spacing w:val="-4"/>
        </w:rPr>
        <w:t xml:space="preserve">. This would be true since the end of March 2013. The new </w:t>
      </w:r>
      <w:r w:rsidR="00C24678">
        <w:rPr>
          <w:noProof/>
          <w:spacing w:val="-4"/>
        </w:rPr>
        <w:t>authority</w:t>
      </w:r>
      <w:r w:rsidRPr="008E6F0E">
        <w:rPr>
          <w:noProof/>
          <w:spacing w:val="-4"/>
        </w:rPr>
        <w:t xml:space="preserve"> ha</w:t>
      </w:r>
      <w:r w:rsidR="00C24678">
        <w:rPr>
          <w:noProof/>
          <w:spacing w:val="-4"/>
        </w:rPr>
        <w:t>d</w:t>
      </w:r>
      <w:r w:rsidRPr="008E6F0E">
        <w:rPr>
          <w:noProof/>
          <w:spacing w:val="-4"/>
        </w:rPr>
        <w:t xml:space="preserve"> to take under a por</w:t>
      </w:r>
      <w:r w:rsidR="00C24678">
        <w:rPr>
          <w:noProof/>
          <w:spacing w:val="-4"/>
        </w:rPr>
        <w:t>tfolio of around € 40 billion (</w:t>
      </w:r>
      <w:r w:rsidRPr="008E6F0E">
        <w:rPr>
          <w:noProof/>
          <w:spacing w:val="-4"/>
        </w:rPr>
        <w:t>approximately one third of the entire GDP of R</w:t>
      </w:r>
      <w:r w:rsidR="00C24678">
        <w:rPr>
          <w:noProof/>
          <w:spacing w:val="-4"/>
        </w:rPr>
        <w:t>omania estimated at 130 billion -</w:t>
      </w:r>
      <w:r w:rsidRPr="008E6F0E">
        <w:rPr>
          <w:noProof/>
          <w:spacing w:val="-4"/>
        </w:rPr>
        <w:t xml:space="preserve"> of which only </w:t>
      </w:r>
      <w:r w:rsidR="00C24678">
        <w:rPr>
          <w:noProof/>
          <w:spacing w:val="-4"/>
        </w:rPr>
        <w:t>Bucharest Stock Exchange market</w:t>
      </w:r>
      <w:r w:rsidRPr="008E6F0E">
        <w:rPr>
          <w:noProof/>
          <w:spacing w:val="-4"/>
        </w:rPr>
        <w:t xml:space="preserve"> focus</w:t>
      </w:r>
      <w:r w:rsidR="00C24678">
        <w:rPr>
          <w:noProof/>
          <w:spacing w:val="-4"/>
        </w:rPr>
        <w:t>ed</w:t>
      </w:r>
      <w:r w:rsidRPr="008E6F0E">
        <w:rPr>
          <w:noProof/>
          <w:spacing w:val="-4"/>
        </w:rPr>
        <w:t xml:space="preserve"> about 23 billion (</w:t>
      </w:r>
      <w:r w:rsidR="00C24678">
        <w:rPr>
          <w:noProof/>
          <w:spacing w:val="-4"/>
        </w:rPr>
        <w:t>Petrescu 2013))</w:t>
      </w:r>
      <w:r w:rsidRPr="008E6F0E">
        <w:rPr>
          <w:noProof/>
          <w:spacing w:val="-4"/>
        </w:rPr>
        <w:t>, the remaining amount representing the value of total assets</w:t>
      </w:r>
      <w:r w:rsidR="00C24678">
        <w:rPr>
          <w:noProof/>
          <w:spacing w:val="-4"/>
        </w:rPr>
        <w:t xml:space="preserve"> of mutual funds and investment</w:t>
      </w:r>
      <w:r w:rsidRPr="008E6F0E">
        <w:rPr>
          <w:noProof/>
          <w:spacing w:val="-4"/>
        </w:rPr>
        <w:t>, private pension funds and insurance. Instead, banking supervision will be integrated in</w:t>
      </w:r>
      <w:r w:rsidR="00C24678">
        <w:rPr>
          <w:noProof/>
          <w:spacing w:val="-4"/>
        </w:rPr>
        <w:t>to the single supervisory model</w:t>
      </w:r>
      <w:r w:rsidRPr="008E6F0E">
        <w:rPr>
          <w:noProof/>
          <w:spacing w:val="-4"/>
        </w:rPr>
        <w:t>, which remains exclusively with the National Bank of Romania .</w:t>
      </w:r>
    </w:p>
    <w:p w:rsidR="008E6F0E" w:rsidRPr="008E6F0E" w:rsidRDefault="008E6F0E" w:rsidP="008E6F0E">
      <w:pPr>
        <w:pStyle w:val="Caption"/>
        <w:spacing w:before="0" w:beforeAutospacing="0" w:after="120" w:afterAutospacing="0"/>
        <w:jc w:val="both"/>
        <w:rPr>
          <w:noProof/>
          <w:spacing w:val="-4"/>
        </w:rPr>
      </w:pPr>
      <w:r>
        <w:rPr>
          <w:noProof/>
          <w:spacing w:val="-4"/>
        </w:rPr>
        <w:t>The last 10 years (</w:t>
      </w:r>
      <w:r w:rsidRPr="008E6F0E">
        <w:rPr>
          <w:noProof/>
          <w:spacing w:val="-4"/>
        </w:rPr>
        <w:t xml:space="preserve">2005-2014) accounted for the </w:t>
      </w:r>
      <w:r>
        <w:rPr>
          <w:noProof/>
          <w:spacing w:val="-4"/>
        </w:rPr>
        <w:t>national</w:t>
      </w:r>
      <w:r w:rsidRPr="008E6F0E">
        <w:rPr>
          <w:noProof/>
          <w:spacing w:val="-4"/>
        </w:rPr>
        <w:t xml:space="preserve"> capital market the main pillars of the capital market, having the strengthen </w:t>
      </w:r>
      <w:r>
        <w:rPr>
          <w:noProof/>
          <w:spacing w:val="-4"/>
        </w:rPr>
        <w:t>to shift from poor developed markets</w:t>
      </w:r>
      <w:r w:rsidRPr="008E6F0E">
        <w:rPr>
          <w:noProof/>
          <w:spacing w:val="-4"/>
        </w:rPr>
        <w:t xml:space="preserve"> towards emerging market</w:t>
      </w:r>
      <w:r>
        <w:rPr>
          <w:noProof/>
          <w:spacing w:val="-4"/>
        </w:rPr>
        <w:t xml:space="preserve"> status</w:t>
      </w:r>
      <w:r w:rsidRPr="008E6F0E">
        <w:rPr>
          <w:noProof/>
          <w:spacing w:val="-4"/>
        </w:rPr>
        <w:t xml:space="preserve">. The first steps in overcoming this statute started </w:t>
      </w:r>
      <w:r>
        <w:rPr>
          <w:noProof/>
          <w:spacing w:val="-4"/>
        </w:rPr>
        <w:t xml:space="preserve">once </w:t>
      </w:r>
      <w:r w:rsidRPr="008E6F0E">
        <w:rPr>
          <w:noProof/>
          <w:spacing w:val="-4"/>
        </w:rPr>
        <w:t xml:space="preserve">the criteria established by the European Commission for Romania's accession to the European Union </w:t>
      </w:r>
      <w:r>
        <w:rPr>
          <w:noProof/>
          <w:spacing w:val="-4"/>
        </w:rPr>
        <w:t xml:space="preserve">was met </w:t>
      </w:r>
      <w:r w:rsidRPr="008E6F0E">
        <w:rPr>
          <w:noProof/>
          <w:spacing w:val="-4"/>
        </w:rPr>
        <w:t xml:space="preserve">and its </w:t>
      </w:r>
      <w:r>
        <w:rPr>
          <w:noProof/>
          <w:spacing w:val="-4"/>
        </w:rPr>
        <w:t>new status</w:t>
      </w:r>
      <w:r w:rsidRPr="008E6F0E">
        <w:rPr>
          <w:noProof/>
          <w:spacing w:val="-4"/>
        </w:rPr>
        <w:t xml:space="preserve"> as</w:t>
      </w:r>
      <w:r>
        <w:rPr>
          <w:noProof/>
          <w:spacing w:val="-4"/>
        </w:rPr>
        <w:t xml:space="preserve"> a "functional economy</w:t>
      </w:r>
      <w:r w:rsidRPr="008E6F0E">
        <w:rPr>
          <w:noProof/>
          <w:spacing w:val="-4"/>
        </w:rPr>
        <w:t>"</w:t>
      </w:r>
      <w:r>
        <w:rPr>
          <w:noProof/>
          <w:spacing w:val="-4"/>
        </w:rPr>
        <w:t xml:space="preserve"> was enounced.</w:t>
      </w:r>
    </w:p>
    <w:p w:rsidR="0096396D" w:rsidRPr="008F00C9" w:rsidRDefault="0096396D" w:rsidP="0096396D">
      <w:pPr>
        <w:pStyle w:val="Caption"/>
        <w:spacing w:before="0" w:beforeAutospacing="0" w:after="0" w:afterAutospacing="0"/>
        <w:jc w:val="both"/>
        <w:rPr>
          <w:noProof/>
          <w:spacing w:val="-4"/>
        </w:rPr>
      </w:pPr>
      <w:r w:rsidRPr="008F00C9">
        <w:rPr>
          <w:noProof/>
          <w:spacing w:val="-4"/>
        </w:rPr>
        <w:t>Given the</w:t>
      </w:r>
      <w:r w:rsidR="00793769" w:rsidRPr="008F00C9">
        <w:rPr>
          <w:noProof/>
          <w:spacing w:val="-4"/>
        </w:rPr>
        <w:t xml:space="preserve"> pursued</w:t>
      </w:r>
      <w:r w:rsidRPr="008F00C9">
        <w:rPr>
          <w:noProof/>
          <w:spacing w:val="-4"/>
        </w:rPr>
        <w:t xml:space="preserve"> role </w:t>
      </w:r>
      <w:r w:rsidR="00793769" w:rsidRPr="008F00C9">
        <w:rPr>
          <w:noProof/>
          <w:spacing w:val="-4"/>
        </w:rPr>
        <w:t>of investment funds, we’ll analyze them from the two strands:</w:t>
      </w:r>
    </w:p>
    <w:p w:rsidR="0096396D" w:rsidRPr="008F00C9" w:rsidRDefault="0096396D" w:rsidP="0096396D">
      <w:pPr>
        <w:pStyle w:val="Caption"/>
        <w:spacing w:before="0" w:beforeAutospacing="0" w:after="0" w:afterAutospacing="0"/>
        <w:ind w:firstLine="720"/>
        <w:jc w:val="both"/>
        <w:rPr>
          <w:noProof/>
          <w:spacing w:val="-4"/>
        </w:rPr>
      </w:pPr>
      <w:r w:rsidRPr="008F00C9">
        <w:rPr>
          <w:noProof/>
          <w:spacing w:val="-4"/>
        </w:rPr>
        <w:t xml:space="preserve">• </w:t>
      </w:r>
      <w:r w:rsidR="00793769" w:rsidRPr="008F00C9">
        <w:rPr>
          <w:noProof/>
          <w:spacing w:val="-4"/>
        </w:rPr>
        <w:t>a</w:t>
      </w:r>
      <w:r w:rsidRPr="008F00C9">
        <w:rPr>
          <w:noProof/>
          <w:spacing w:val="-4"/>
        </w:rPr>
        <w:t xml:space="preserve">ttracting capital funds </w:t>
      </w:r>
      <w:r w:rsidR="00793769" w:rsidRPr="008F00C9">
        <w:rPr>
          <w:noProof/>
          <w:spacing w:val="-4"/>
        </w:rPr>
        <w:t>i.e.</w:t>
      </w:r>
      <w:r w:rsidRPr="008F00C9">
        <w:rPr>
          <w:noProof/>
          <w:spacing w:val="-4"/>
        </w:rPr>
        <w:t xml:space="preserve"> establishment of the fund itsel</w:t>
      </w:r>
      <w:r w:rsidR="00793769" w:rsidRPr="008F00C9">
        <w:rPr>
          <w:noProof/>
          <w:spacing w:val="-4"/>
        </w:rPr>
        <w:t>f by selling investment units to</w:t>
      </w:r>
      <w:r w:rsidRPr="008F00C9">
        <w:rPr>
          <w:noProof/>
          <w:spacing w:val="-4"/>
        </w:rPr>
        <w:t xml:space="preserve"> investors - as shown in Figure 1.1 .;</w:t>
      </w:r>
    </w:p>
    <w:p w:rsidR="0096396D" w:rsidRPr="008F00C9" w:rsidRDefault="0096396D" w:rsidP="0096396D">
      <w:pPr>
        <w:pStyle w:val="Caption"/>
        <w:spacing w:before="0" w:beforeAutospacing="0" w:after="0" w:afterAutospacing="0"/>
        <w:ind w:firstLine="720"/>
        <w:jc w:val="both"/>
        <w:rPr>
          <w:noProof/>
          <w:spacing w:val="-4"/>
        </w:rPr>
      </w:pPr>
      <w:r w:rsidRPr="008F00C9">
        <w:rPr>
          <w:noProof/>
          <w:spacing w:val="-4"/>
        </w:rPr>
        <w:t xml:space="preserve">• placement of accumulated funds in various securities on the financial market </w:t>
      </w:r>
      <w:r w:rsidR="00793769" w:rsidRPr="008F00C9">
        <w:rPr>
          <w:noProof/>
          <w:spacing w:val="-4"/>
        </w:rPr>
        <w:t xml:space="preserve">– i.e. financing other companies </w:t>
      </w:r>
      <w:r w:rsidRPr="008F00C9">
        <w:rPr>
          <w:noProof/>
          <w:spacing w:val="-4"/>
        </w:rPr>
        <w:t>- as shown in Figure 1.2 .;</w:t>
      </w:r>
    </w:p>
    <w:p w:rsidR="0096396D" w:rsidRPr="00C24678" w:rsidRDefault="0096396D" w:rsidP="006C35C4">
      <w:pPr>
        <w:pStyle w:val="Caption"/>
        <w:spacing w:before="0" w:beforeAutospacing="0" w:after="120" w:afterAutospacing="0"/>
        <w:jc w:val="both"/>
        <w:rPr>
          <w:noProof/>
          <w:spacing w:val="-4"/>
          <w:sz w:val="12"/>
          <w:szCs w:val="12"/>
        </w:rPr>
      </w:pPr>
    </w:p>
    <w:p w:rsidR="006C35C4" w:rsidRPr="008F00C9" w:rsidRDefault="0096396D" w:rsidP="006C35C4">
      <w:pPr>
        <w:pStyle w:val="Caption"/>
        <w:spacing w:before="0" w:beforeAutospacing="0" w:after="0" w:afterAutospacing="0"/>
        <w:jc w:val="center"/>
        <w:rPr>
          <w:b/>
          <w:noProof/>
          <w:sz w:val="20"/>
          <w:szCs w:val="20"/>
        </w:rPr>
      </w:pPr>
      <w:bookmarkStart w:id="6" w:name="_Toc261886334"/>
      <w:bookmarkStart w:id="7" w:name="_Toc449385089"/>
      <w:r w:rsidRPr="008F00C9">
        <w:rPr>
          <w:b/>
          <w:sz w:val="20"/>
          <w:szCs w:val="20"/>
        </w:rPr>
        <w:t>Figure</w:t>
      </w:r>
      <w:r w:rsidR="006C35C4" w:rsidRPr="008F00C9">
        <w:rPr>
          <w:b/>
          <w:sz w:val="20"/>
          <w:szCs w:val="20"/>
        </w:rPr>
        <w:t xml:space="preserve"> 1. </w:t>
      </w:r>
      <w:r w:rsidR="004B4616" w:rsidRPr="008F00C9">
        <w:rPr>
          <w:b/>
          <w:sz w:val="20"/>
          <w:szCs w:val="20"/>
        </w:rPr>
        <w:fldChar w:fldCharType="begin"/>
      </w:r>
      <w:r w:rsidR="006C35C4" w:rsidRPr="008F00C9">
        <w:rPr>
          <w:b/>
          <w:sz w:val="20"/>
          <w:szCs w:val="20"/>
        </w:rPr>
        <w:instrText xml:space="preserve"> SEQ Figura_1. \* ARABIC </w:instrText>
      </w:r>
      <w:r w:rsidR="004B4616" w:rsidRPr="008F00C9">
        <w:rPr>
          <w:b/>
          <w:sz w:val="20"/>
          <w:szCs w:val="20"/>
        </w:rPr>
        <w:fldChar w:fldCharType="separate"/>
      </w:r>
      <w:r w:rsidR="00695698" w:rsidRPr="008F00C9">
        <w:rPr>
          <w:b/>
          <w:noProof/>
          <w:sz w:val="20"/>
          <w:szCs w:val="20"/>
        </w:rPr>
        <w:t>1</w:t>
      </w:r>
      <w:r w:rsidR="004B4616" w:rsidRPr="008F00C9">
        <w:rPr>
          <w:b/>
          <w:sz w:val="20"/>
          <w:szCs w:val="20"/>
        </w:rPr>
        <w:fldChar w:fldCharType="end"/>
      </w:r>
      <w:r w:rsidR="006C35C4" w:rsidRPr="008F00C9">
        <w:rPr>
          <w:b/>
          <w:noProof/>
          <w:sz w:val="20"/>
          <w:szCs w:val="20"/>
        </w:rPr>
        <w:t xml:space="preserve"> </w:t>
      </w:r>
      <w:bookmarkEnd w:id="6"/>
      <w:bookmarkEnd w:id="7"/>
      <w:r w:rsidRPr="008F00C9">
        <w:rPr>
          <w:b/>
          <w:noProof/>
          <w:sz w:val="20"/>
          <w:szCs w:val="20"/>
        </w:rPr>
        <w:t>Fund initialization scheme</w:t>
      </w:r>
    </w:p>
    <w:p w:rsidR="0096396D" w:rsidRPr="008F00C9" w:rsidRDefault="0096396D" w:rsidP="006C35C4">
      <w:pPr>
        <w:pStyle w:val="Caption"/>
        <w:spacing w:before="0" w:beforeAutospacing="0" w:after="0" w:afterAutospacing="0"/>
        <w:jc w:val="center"/>
        <w:rPr>
          <w:b/>
          <w:noProof/>
          <w:sz w:val="20"/>
          <w:szCs w:val="20"/>
        </w:rPr>
      </w:pPr>
    </w:p>
    <w:p w:rsidR="006C35C4" w:rsidRPr="008F00C9" w:rsidRDefault="006C35C4" w:rsidP="006C35C4">
      <w:pPr>
        <w:spacing w:line="36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drawing>
          <wp:inline distT="0" distB="0" distL="0" distR="0">
            <wp:extent cx="5800725" cy="638175"/>
            <wp:effectExtent l="38100" t="19050" r="28575" b="28575"/>
            <wp:docPr id="24"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6C35C4" w:rsidRPr="008F00C9" w:rsidRDefault="006C35C4" w:rsidP="006C35C4">
      <w:pPr>
        <w:spacing w:after="0" w:line="36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drawing>
          <wp:inline distT="0" distB="0" distL="0" distR="0">
            <wp:extent cx="5800725" cy="638175"/>
            <wp:effectExtent l="38100" t="19050" r="28575" b="28575"/>
            <wp:docPr id="29"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96396D" w:rsidRPr="008F00C9" w:rsidRDefault="0096396D" w:rsidP="0096396D">
      <w:pPr>
        <w:pStyle w:val="HTMLPreformatted"/>
        <w:shd w:val="clear" w:color="auto" w:fill="FFFFFF"/>
        <w:jc w:val="center"/>
        <w:rPr>
          <w:rFonts w:ascii="inherit" w:hAnsi="inherit"/>
          <w:color w:val="212121"/>
        </w:rPr>
      </w:pPr>
      <w:r w:rsidRPr="008F00C9">
        <w:rPr>
          <w:rFonts w:ascii="Times New Roman" w:hAnsi="Times New Roman" w:cs="Times New Roman"/>
          <w:noProof/>
        </w:rPr>
        <w:t>Source</w:t>
      </w:r>
      <w:r w:rsidR="006C35C4" w:rsidRPr="008F00C9">
        <w:rPr>
          <w:rFonts w:ascii="Times New Roman" w:hAnsi="Times New Roman" w:cs="Times New Roman"/>
          <w:noProof/>
        </w:rPr>
        <w:t xml:space="preserve">: </w:t>
      </w:r>
      <w:r w:rsidRPr="008F00C9">
        <w:rPr>
          <w:rFonts w:ascii="inherit" w:hAnsi="inherit"/>
          <w:color w:val="212121"/>
        </w:rPr>
        <w:t>author's own processing</w:t>
      </w:r>
    </w:p>
    <w:p w:rsidR="0096396D" w:rsidRPr="008F00C9" w:rsidRDefault="0096396D" w:rsidP="0096396D">
      <w:pPr>
        <w:pStyle w:val="HTMLPreformatted"/>
        <w:shd w:val="clear" w:color="auto" w:fill="FFFFFF"/>
        <w:jc w:val="center"/>
        <w:rPr>
          <w:rFonts w:ascii="inherit" w:hAnsi="inherit"/>
          <w:color w:val="212121"/>
        </w:rPr>
      </w:pPr>
    </w:p>
    <w:p w:rsidR="0096396D" w:rsidRPr="008F00C9" w:rsidRDefault="0096396D" w:rsidP="00C24678">
      <w:pPr>
        <w:pStyle w:val="Caption"/>
        <w:spacing w:before="0" w:beforeAutospacing="0" w:after="0" w:afterAutospacing="0"/>
        <w:jc w:val="center"/>
        <w:rPr>
          <w:b/>
          <w:noProof/>
          <w:sz w:val="20"/>
          <w:szCs w:val="20"/>
        </w:rPr>
      </w:pPr>
      <w:bookmarkStart w:id="8" w:name="_Toc261886335"/>
      <w:bookmarkStart w:id="9" w:name="_Toc449385090"/>
      <w:r w:rsidRPr="008F00C9">
        <w:rPr>
          <w:b/>
          <w:sz w:val="20"/>
          <w:szCs w:val="20"/>
        </w:rPr>
        <w:t>Figure</w:t>
      </w:r>
      <w:r w:rsidR="006C35C4" w:rsidRPr="008F00C9">
        <w:rPr>
          <w:b/>
          <w:sz w:val="20"/>
          <w:szCs w:val="20"/>
        </w:rPr>
        <w:t xml:space="preserve"> 1. </w:t>
      </w:r>
      <w:r w:rsidR="004B4616" w:rsidRPr="008F00C9">
        <w:rPr>
          <w:b/>
          <w:sz w:val="20"/>
          <w:szCs w:val="20"/>
        </w:rPr>
        <w:fldChar w:fldCharType="begin"/>
      </w:r>
      <w:r w:rsidR="006C35C4" w:rsidRPr="008F00C9">
        <w:rPr>
          <w:b/>
          <w:sz w:val="20"/>
          <w:szCs w:val="20"/>
        </w:rPr>
        <w:instrText xml:space="preserve"> SEQ Figura_1. \* ARABIC </w:instrText>
      </w:r>
      <w:r w:rsidR="004B4616" w:rsidRPr="008F00C9">
        <w:rPr>
          <w:b/>
          <w:sz w:val="20"/>
          <w:szCs w:val="20"/>
        </w:rPr>
        <w:fldChar w:fldCharType="separate"/>
      </w:r>
      <w:r w:rsidR="00695698" w:rsidRPr="008F00C9">
        <w:rPr>
          <w:b/>
          <w:noProof/>
          <w:sz w:val="20"/>
          <w:szCs w:val="20"/>
        </w:rPr>
        <w:t>2</w:t>
      </w:r>
      <w:r w:rsidR="004B4616" w:rsidRPr="008F00C9">
        <w:rPr>
          <w:b/>
          <w:sz w:val="20"/>
          <w:szCs w:val="20"/>
        </w:rPr>
        <w:fldChar w:fldCharType="end"/>
      </w:r>
      <w:r w:rsidR="006C35C4" w:rsidRPr="008F00C9">
        <w:rPr>
          <w:b/>
          <w:noProof/>
          <w:sz w:val="20"/>
          <w:szCs w:val="20"/>
        </w:rPr>
        <w:t xml:space="preserve"> </w:t>
      </w:r>
      <w:bookmarkEnd w:id="8"/>
      <w:bookmarkEnd w:id="9"/>
      <w:r w:rsidRPr="008F00C9">
        <w:rPr>
          <w:b/>
          <w:noProof/>
          <w:sz w:val="20"/>
          <w:szCs w:val="20"/>
        </w:rPr>
        <w:t>Fund investing scheme</w:t>
      </w:r>
    </w:p>
    <w:p w:rsidR="006C35C4" w:rsidRPr="008F00C9" w:rsidRDefault="006C35C4" w:rsidP="006C35C4">
      <w:pPr>
        <w:spacing w:line="36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drawing>
          <wp:inline distT="0" distB="0" distL="0" distR="0">
            <wp:extent cx="5800725" cy="638175"/>
            <wp:effectExtent l="57150" t="19050" r="28575" b="28575"/>
            <wp:docPr id="241"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sidRPr="008F00C9">
        <w:rPr>
          <w:rFonts w:ascii="Times New Roman" w:hAnsi="Times New Roman" w:cs="Times New Roman"/>
          <w:noProof/>
          <w:sz w:val="20"/>
          <w:szCs w:val="20"/>
        </w:rPr>
        <w:drawing>
          <wp:inline distT="0" distB="0" distL="0" distR="0">
            <wp:extent cx="5837168" cy="640660"/>
            <wp:effectExtent l="19050" t="19050" r="30232" b="26090"/>
            <wp:docPr id="242"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96396D" w:rsidRPr="008F00C9" w:rsidRDefault="0096396D" w:rsidP="0096396D">
      <w:pPr>
        <w:pStyle w:val="HTMLPreformatted"/>
        <w:shd w:val="clear" w:color="auto" w:fill="FFFFFF"/>
        <w:jc w:val="center"/>
        <w:rPr>
          <w:rFonts w:ascii="inherit" w:hAnsi="inherit"/>
          <w:color w:val="212121"/>
        </w:rPr>
      </w:pPr>
      <w:r w:rsidRPr="008F00C9">
        <w:rPr>
          <w:rFonts w:ascii="Times New Roman" w:hAnsi="Times New Roman" w:cs="Times New Roman"/>
          <w:noProof/>
        </w:rPr>
        <w:t xml:space="preserve">Source: </w:t>
      </w:r>
      <w:r w:rsidRPr="008F00C9">
        <w:rPr>
          <w:rFonts w:ascii="inherit" w:hAnsi="inherit"/>
          <w:color w:val="212121"/>
        </w:rPr>
        <w:t>author's own processing</w:t>
      </w:r>
    </w:p>
    <w:p w:rsidR="0096396D" w:rsidRPr="008F00C9" w:rsidRDefault="0096396D" w:rsidP="00DB67E6">
      <w:pPr>
        <w:spacing w:after="120" w:line="240" w:lineRule="auto"/>
        <w:jc w:val="both"/>
        <w:rPr>
          <w:rFonts w:ascii="Times New Roman" w:hAnsi="Times New Roman" w:cs="Times New Roman"/>
          <w:noProof/>
          <w:sz w:val="24"/>
          <w:szCs w:val="24"/>
        </w:rPr>
      </w:pPr>
      <w:r w:rsidRPr="008F00C9">
        <w:rPr>
          <w:rFonts w:ascii="Times New Roman" w:hAnsi="Times New Roman" w:cs="Times New Roman"/>
          <w:noProof/>
          <w:sz w:val="24"/>
          <w:szCs w:val="24"/>
        </w:rPr>
        <w:lastRenderedPageBreak/>
        <w:t>Based on these two activities, the structure of the investment funds organization follows the below scheme (Figure 1.3.):</w:t>
      </w:r>
    </w:p>
    <w:p w:rsidR="006C35C4" w:rsidRPr="008F00C9" w:rsidRDefault="0096396D" w:rsidP="006C35C4">
      <w:pPr>
        <w:pStyle w:val="Caption"/>
        <w:spacing w:before="0" w:beforeAutospacing="0" w:after="0" w:afterAutospacing="0"/>
        <w:jc w:val="center"/>
        <w:rPr>
          <w:b/>
          <w:noProof/>
          <w:sz w:val="20"/>
          <w:szCs w:val="20"/>
        </w:rPr>
      </w:pPr>
      <w:bookmarkStart w:id="10" w:name="_Toc261886336"/>
      <w:bookmarkStart w:id="11" w:name="_Toc449385091"/>
      <w:r w:rsidRPr="008F00C9">
        <w:rPr>
          <w:b/>
          <w:sz w:val="20"/>
          <w:szCs w:val="20"/>
        </w:rPr>
        <w:t>Figure</w:t>
      </w:r>
      <w:r w:rsidR="006C35C4" w:rsidRPr="008F00C9">
        <w:rPr>
          <w:b/>
          <w:sz w:val="20"/>
          <w:szCs w:val="20"/>
        </w:rPr>
        <w:t xml:space="preserve"> 1. </w:t>
      </w:r>
      <w:r w:rsidR="004B4616" w:rsidRPr="008F00C9">
        <w:rPr>
          <w:b/>
          <w:sz w:val="20"/>
          <w:szCs w:val="20"/>
        </w:rPr>
        <w:fldChar w:fldCharType="begin"/>
      </w:r>
      <w:r w:rsidR="006C35C4" w:rsidRPr="008F00C9">
        <w:rPr>
          <w:b/>
          <w:sz w:val="20"/>
          <w:szCs w:val="20"/>
        </w:rPr>
        <w:instrText xml:space="preserve"> SEQ Figura_1. \* ARABIC </w:instrText>
      </w:r>
      <w:r w:rsidR="004B4616" w:rsidRPr="008F00C9">
        <w:rPr>
          <w:b/>
          <w:sz w:val="20"/>
          <w:szCs w:val="20"/>
        </w:rPr>
        <w:fldChar w:fldCharType="separate"/>
      </w:r>
      <w:r w:rsidR="00695698" w:rsidRPr="008F00C9">
        <w:rPr>
          <w:b/>
          <w:noProof/>
          <w:sz w:val="20"/>
          <w:szCs w:val="20"/>
        </w:rPr>
        <w:t>3</w:t>
      </w:r>
      <w:r w:rsidR="004B4616" w:rsidRPr="008F00C9">
        <w:rPr>
          <w:b/>
          <w:sz w:val="20"/>
          <w:szCs w:val="20"/>
        </w:rPr>
        <w:fldChar w:fldCharType="end"/>
      </w:r>
      <w:r w:rsidR="006C35C4" w:rsidRPr="008F00C9">
        <w:rPr>
          <w:b/>
          <w:sz w:val="20"/>
          <w:szCs w:val="20"/>
        </w:rPr>
        <w:t xml:space="preserve"> </w:t>
      </w:r>
      <w:bookmarkEnd w:id="10"/>
      <w:bookmarkEnd w:id="11"/>
      <w:r w:rsidRPr="008F00C9">
        <w:rPr>
          <w:b/>
          <w:noProof/>
          <w:sz w:val="20"/>
          <w:szCs w:val="20"/>
        </w:rPr>
        <w:t>Simplified scheme of investment fund functionality</w:t>
      </w:r>
    </w:p>
    <w:p w:rsidR="006C35C4" w:rsidRPr="008F00C9" w:rsidRDefault="006C35C4" w:rsidP="00FF39D0">
      <w:pPr>
        <w:spacing w:after="120" w:line="240" w:lineRule="auto"/>
        <w:jc w:val="center"/>
        <w:rPr>
          <w:rFonts w:ascii="Times New Roman" w:hAnsi="Times New Roman" w:cs="Times New Roman"/>
          <w:noProof/>
          <w:sz w:val="20"/>
          <w:szCs w:val="20"/>
        </w:rPr>
      </w:pPr>
      <w:r w:rsidRPr="008F00C9">
        <w:rPr>
          <w:rFonts w:ascii="Times New Roman" w:hAnsi="Times New Roman" w:cs="Times New Roman"/>
          <w:noProof/>
          <w:sz w:val="20"/>
          <w:szCs w:val="20"/>
        </w:rPr>
        <w:drawing>
          <wp:inline distT="0" distB="0" distL="0" distR="0">
            <wp:extent cx="3419889" cy="2189334"/>
            <wp:effectExtent l="19050" t="0" r="9111" b="0"/>
            <wp:docPr id="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srcRect/>
                    <a:stretch>
                      <a:fillRect/>
                    </a:stretch>
                  </pic:blipFill>
                  <pic:spPr bwMode="auto">
                    <a:xfrm>
                      <a:off x="0" y="0"/>
                      <a:ext cx="3421921" cy="2190635"/>
                    </a:xfrm>
                    <a:prstGeom prst="rect">
                      <a:avLst/>
                    </a:prstGeom>
                    <a:noFill/>
                    <a:ln w="9525">
                      <a:noFill/>
                      <a:miter lim="800000"/>
                      <a:headEnd/>
                      <a:tailEnd/>
                    </a:ln>
                  </pic:spPr>
                </pic:pic>
              </a:graphicData>
            </a:graphic>
          </wp:inline>
        </w:drawing>
      </w:r>
    </w:p>
    <w:p w:rsidR="0096396D" w:rsidRPr="008F00C9" w:rsidRDefault="0096396D" w:rsidP="0096396D">
      <w:pPr>
        <w:pStyle w:val="HTMLPreformatted"/>
        <w:shd w:val="clear" w:color="auto" w:fill="FFFFFF"/>
        <w:jc w:val="center"/>
        <w:rPr>
          <w:rFonts w:ascii="inherit" w:hAnsi="inherit"/>
          <w:color w:val="212121"/>
        </w:rPr>
      </w:pPr>
      <w:r w:rsidRPr="008F00C9">
        <w:rPr>
          <w:rFonts w:ascii="Times New Roman" w:hAnsi="Times New Roman" w:cs="Times New Roman"/>
          <w:noProof/>
        </w:rPr>
        <w:t xml:space="preserve">Source: </w:t>
      </w:r>
      <w:r w:rsidRPr="008F00C9">
        <w:rPr>
          <w:rFonts w:ascii="inherit" w:hAnsi="inherit"/>
          <w:color w:val="212121"/>
        </w:rPr>
        <w:t>author's own processing</w:t>
      </w:r>
    </w:p>
    <w:p w:rsidR="00210932" w:rsidRDefault="00210932" w:rsidP="00210932">
      <w:pPr>
        <w:spacing w:after="0" w:line="240" w:lineRule="auto"/>
        <w:jc w:val="both"/>
        <w:rPr>
          <w:rFonts w:ascii="Times New Roman" w:hAnsi="Times New Roman" w:cs="Times New Roman"/>
          <w:noProof/>
          <w:sz w:val="24"/>
          <w:szCs w:val="24"/>
        </w:rPr>
      </w:pPr>
    </w:p>
    <w:p w:rsidR="00210932" w:rsidRPr="00210932" w:rsidRDefault="00210932" w:rsidP="00210932">
      <w:pPr>
        <w:spacing w:after="0" w:line="240" w:lineRule="auto"/>
        <w:jc w:val="both"/>
        <w:rPr>
          <w:rFonts w:ascii="Times New Roman" w:hAnsi="Times New Roman" w:cs="Times New Roman"/>
          <w:noProof/>
          <w:sz w:val="24"/>
          <w:szCs w:val="24"/>
        </w:rPr>
      </w:pPr>
      <w:r w:rsidRPr="00210932">
        <w:rPr>
          <w:rFonts w:ascii="Times New Roman" w:hAnsi="Times New Roman" w:cs="Times New Roman"/>
          <w:noProof/>
          <w:sz w:val="24"/>
          <w:szCs w:val="24"/>
        </w:rPr>
        <w:t xml:space="preserve">On account of the way in which these investment funds </w:t>
      </w:r>
      <w:r>
        <w:rPr>
          <w:rFonts w:ascii="Times New Roman" w:hAnsi="Times New Roman" w:cs="Times New Roman"/>
          <w:noProof/>
          <w:sz w:val="24"/>
          <w:szCs w:val="24"/>
        </w:rPr>
        <w:t xml:space="preserve">are operating in the market, it is concluded that investment </w:t>
      </w:r>
      <w:r w:rsidRPr="00210932">
        <w:rPr>
          <w:rFonts w:ascii="Times New Roman" w:hAnsi="Times New Roman" w:cs="Times New Roman"/>
          <w:noProof/>
          <w:sz w:val="24"/>
          <w:szCs w:val="24"/>
        </w:rPr>
        <w:t xml:space="preserve">funds </w:t>
      </w:r>
      <w:r>
        <w:rPr>
          <w:rFonts w:ascii="Times New Roman" w:hAnsi="Times New Roman" w:cs="Times New Roman"/>
          <w:noProof/>
          <w:sz w:val="24"/>
          <w:szCs w:val="24"/>
        </w:rPr>
        <w:t xml:space="preserve">operate within </w:t>
      </w:r>
      <w:r w:rsidRPr="00210932">
        <w:rPr>
          <w:rFonts w:ascii="Times New Roman" w:hAnsi="Times New Roman" w:cs="Times New Roman"/>
          <w:noProof/>
          <w:sz w:val="24"/>
          <w:szCs w:val="24"/>
        </w:rPr>
        <w:t xml:space="preserve">three specific </w:t>
      </w:r>
      <w:r>
        <w:rPr>
          <w:rFonts w:ascii="Times New Roman" w:hAnsi="Times New Roman" w:cs="Times New Roman"/>
          <w:noProof/>
          <w:sz w:val="24"/>
          <w:szCs w:val="24"/>
        </w:rPr>
        <w:t>actions</w:t>
      </w:r>
      <w:r w:rsidRPr="00210932">
        <w:rPr>
          <w:rFonts w:ascii="Times New Roman" w:hAnsi="Times New Roman" w:cs="Times New Roman"/>
          <w:noProof/>
          <w:sz w:val="24"/>
          <w:szCs w:val="24"/>
        </w:rPr>
        <w:t>:</w:t>
      </w:r>
    </w:p>
    <w:p w:rsidR="00210932" w:rsidRPr="00210932" w:rsidRDefault="00210932" w:rsidP="00210932">
      <w:pPr>
        <w:spacing w:after="0" w:line="240" w:lineRule="auto"/>
        <w:ind w:firstLine="720"/>
        <w:jc w:val="both"/>
        <w:rPr>
          <w:rFonts w:ascii="Times New Roman" w:hAnsi="Times New Roman" w:cs="Times New Roman"/>
          <w:noProof/>
          <w:sz w:val="24"/>
          <w:szCs w:val="24"/>
        </w:rPr>
      </w:pPr>
      <w:r w:rsidRPr="00210932">
        <w:rPr>
          <w:rFonts w:ascii="Times New Roman" w:hAnsi="Times New Roman" w:cs="Times New Roman"/>
          <w:noProof/>
          <w:sz w:val="24"/>
          <w:szCs w:val="24"/>
        </w:rPr>
        <w:t xml:space="preserve">a) issuing fund units in order to attract investment capital - </w:t>
      </w:r>
      <w:r>
        <w:rPr>
          <w:rFonts w:ascii="Times New Roman" w:hAnsi="Times New Roman" w:cs="Times New Roman"/>
          <w:noProof/>
          <w:sz w:val="24"/>
          <w:szCs w:val="24"/>
        </w:rPr>
        <w:t>action</w:t>
      </w:r>
      <w:r w:rsidRPr="00210932">
        <w:rPr>
          <w:rFonts w:ascii="Times New Roman" w:hAnsi="Times New Roman" w:cs="Times New Roman"/>
          <w:noProof/>
          <w:sz w:val="24"/>
          <w:szCs w:val="24"/>
        </w:rPr>
        <w:t xml:space="preserve"> that involves raising funds from investors on account </w:t>
      </w:r>
      <w:r>
        <w:rPr>
          <w:rFonts w:ascii="Times New Roman" w:hAnsi="Times New Roman" w:cs="Times New Roman"/>
          <w:noProof/>
          <w:sz w:val="24"/>
          <w:szCs w:val="24"/>
        </w:rPr>
        <w:t xml:space="preserve">of </w:t>
      </w:r>
      <w:r w:rsidRPr="00210932">
        <w:rPr>
          <w:rFonts w:ascii="Times New Roman" w:hAnsi="Times New Roman" w:cs="Times New Roman"/>
          <w:noProof/>
          <w:sz w:val="24"/>
          <w:szCs w:val="24"/>
        </w:rPr>
        <w:t>subscription</w:t>
      </w:r>
      <w:r>
        <w:rPr>
          <w:rFonts w:ascii="Times New Roman" w:hAnsi="Times New Roman" w:cs="Times New Roman"/>
          <w:noProof/>
          <w:sz w:val="24"/>
          <w:szCs w:val="24"/>
        </w:rPr>
        <w:t>s</w:t>
      </w:r>
      <w:r w:rsidRPr="00210932">
        <w:rPr>
          <w:rFonts w:ascii="Times New Roman" w:hAnsi="Times New Roman" w:cs="Times New Roman"/>
          <w:noProof/>
          <w:sz w:val="24"/>
          <w:szCs w:val="24"/>
        </w:rPr>
        <w:t xml:space="preserve"> </w:t>
      </w:r>
      <w:r>
        <w:rPr>
          <w:rFonts w:ascii="Times New Roman" w:hAnsi="Times New Roman" w:cs="Times New Roman"/>
          <w:noProof/>
          <w:sz w:val="24"/>
          <w:szCs w:val="24"/>
        </w:rPr>
        <w:t>for the</w:t>
      </w:r>
      <w:r w:rsidRPr="00210932">
        <w:rPr>
          <w:rFonts w:ascii="Times New Roman" w:hAnsi="Times New Roman" w:cs="Times New Roman"/>
          <w:noProof/>
          <w:sz w:val="24"/>
          <w:szCs w:val="24"/>
        </w:rPr>
        <w:t xml:space="preserve"> issued</w:t>
      </w:r>
      <w:r>
        <w:rPr>
          <w:rFonts w:ascii="Times New Roman" w:hAnsi="Times New Roman" w:cs="Times New Roman"/>
          <w:noProof/>
          <w:sz w:val="24"/>
          <w:szCs w:val="24"/>
        </w:rPr>
        <w:t xml:space="preserve"> units</w:t>
      </w:r>
      <w:r w:rsidRPr="00210932">
        <w:rPr>
          <w:rFonts w:ascii="Times New Roman" w:hAnsi="Times New Roman" w:cs="Times New Roman"/>
          <w:noProof/>
          <w:sz w:val="24"/>
          <w:szCs w:val="24"/>
        </w:rPr>
        <w:t>;</w:t>
      </w:r>
    </w:p>
    <w:p w:rsidR="00210932" w:rsidRPr="00210932" w:rsidRDefault="00210932" w:rsidP="00210932">
      <w:pPr>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b) performing strategic investment allocations</w:t>
      </w:r>
      <w:r w:rsidRPr="00210932">
        <w:rPr>
          <w:rFonts w:ascii="Times New Roman" w:hAnsi="Times New Roman" w:cs="Times New Roman"/>
          <w:noProof/>
          <w:sz w:val="24"/>
          <w:szCs w:val="24"/>
        </w:rPr>
        <w:t xml:space="preserve">- </w:t>
      </w:r>
      <w:r>
        <w:rPr>
          <w:rFonts w:ascii="Times New Roman" w:hAnsi="Times New Roman" w:cs="Times New Roman"/>
          <w:noProof/>
          <w:sz w:val="24"/>
          <w:szCs w:val="24"/>
        </w:rPr>
        <w:t>the</w:t>
      </w:r>
      <w:r w:rsidRPr="00210932">
        <w:rPr>
          <w:rFonts w:ascii="Times New Roman" w:hAnsi="Times New Roman" w:cs="Times New Roman"/>
          <w:noProof/>
          <w:sz w:val="24"/>
          <w:szCs w:val="24"/>
        </w:rPr>
        <w:t xml:space="preserve"> capital accumulation </w:t>
      </w:r>
      <w:r>
        <w:rPr>
          <w:rFonts w:ascii="Times New Roman" w:hAnsi="Times New Roman" w:cs="Times New Roman"/>
          <w:noProof/>
          <w:sz w:val="24"/>
          <w:szCs w:val="24"/>
        </w:rPr>
        <w:t xml:space="preserve">is </w:t>
      </w:r>
      <w:r w:rsidRPr="00210932">
        <w:rPr>
          <w:rFonts w:ascii="Times New Roman" w:hAnsi="Times New Roman" w:cs="Times New Roman"/>
          <w:noProof/>
          <w:sz w:val="24"/>
          <w:szCs w:val="24"/>
        </w:rPr>
        <w:t>place</w:t>
      </w:r>
      <w:r>
        <w:rPr>
          <w:rFonts w:ascii="Times New Roman" w:hAnsi="Times New Roman" w:cs="Times New Roman"/>
          <w:noProof/>
          <w:sz w:val="24"/>
          <w:szCs w:val="24"/>
        </w:rPr>
        <w:t>d</w:t>
      </w:r>
      <w:r w:rsidRPr="00210932">
        <w:rPr>
          <w:rFonts w:ascii="Times New Roman" w:hAnsi="Times New Roman" w:cs="Times New Roman"/>
          <w:noProof/>
          <w:sz w:val="24"/>
          <w:szCs w:val="24"/>
        </w:rPr>
        <w:t xml:space="preserve"> according to a clearly defined investment strategy</w:t>
      </w:r>
      <w:r>
        <w:rPr>
          <w:rFonts w:ascii="Times New Roman" w:hAnsi="Times New Roman" w:cs="Times New Roman"/>
          <w:noProof/>
          <w:sz w:val="24"/>
          <w:szCs w:val="24"/>
        </w:rPr>
        <w:t xml:space="preserve"> in various investment vehicles</w:t>
      </w:r>
      <w:r w:rsidRPr="00210932">
        <w:rPr>
          <w:rFonts w:ascii="Times New Roman" w:hAnsi="Times New Roman" w:cs="Times New Roman"/>
          <w:noProof/>
          <w:sz w:val="24"/>
          <w:szCs w:val="24"/>
        </w:rPr>
        <w:t>;</w:t>
      </w:r>
    </w:p>
    <w:p w:rsidR="00210932" w:rsidRPr="00210932" w:rsidRDefault="00210932" w:rsidP="00210932">
      <w:pPr>
        <w:spacing w:after="120" w:line="240" w:lineRule="auto"/>
        <w:ind w:firstLine="720"/>
        <w:jc w:val="both"/>
        <w:rPr>
          <w:rFonts w:ascii="Times New Roman" w:hAnsi="Times New Roman" w:cs="Times New Roman"/>
          <w:noProof/>
          <w:sz w:val="24"/>
          <w:szCs w:val="24"/>
        </w:rPr>
      </w:pPr>
      <w:r w:rsidRPr="00210932">
        <w:rPr>
          <w:rFonts w:ascii="Times New Roman" w:hAnsi="Times New Roman" w:cs="Times New Roman"/>
          <w:noProof/>
          <w:sz w:val="24"/>
          <w:szCs w:val="24"/>
        </w:rPr>
        <w:t xml:space="preserve">c ) investment </w:t>
      </w:r>
      <w:r>
        <w:rPr>
          <w:rFonts w:ascii="Times New Roman" w:hAnsi="Times New Roman" w:cs="Times New Roman"/>
          <w:noProof/>
          <w:sz w:val="24"/>
          <w:szCs w:val="24"/>
        </w:rPr>
        <w:t>multiplication</w:t>
      </w:r>
      <w:r w:rsidRPr="00210932">
        <w:rPr>
          <w:rFonts w:ascii="Times New Roman" w:hAnsi="Times New Roman" w:cs="Times New Roman"/>
          <w:noProof/>
          <w:sz w:val="24"/>
          <w:szCs w:val="24"/>
        </w:rPr>
        <w:t xml:space="preserve"> through the redemption of fund units at the time of exit.</w:t>
      </w:r>
    </w:p>
    <w:p w:rsidR="00210932" w:rsidRPr="008F00C9" w:rsidRDefault="00210932" w:rsidP="00DB67E6">
      <w:pPr>
        <w:spacing w:after="120" w:line="240" w:lineRule="auto"/>
        <w:jc w:val="both"/>
        <w:rPr>
          <w:rFonts w:ascii="Times New Roman" w:hAnsi="Times New Roman" w:cs="Times New Roman"/>
          <w:noProof/>
          <w:sz w:val="24"/>
          <w:szCs w:val="24"/>
        </w:rPr>
      </w:pPr>
      <w:r w:rsidRPr="00210932">
        <w:rPr>
          <w:rFonts w:ascii="Times New Roman" w:hAnsi="Times New Roman" w:cs="Times New Roman"/>
          <w:noProof/>
          <w:sz w:val="24"/>
          <w:szCs w:val="24"/>
        </w:rPr>
        <w:t>Since 1990, the investment fund industry has proven to be one of the components with the highest rate of growth of the financial</w:t>
      </w:r>
      <w:r>
        <w:rPr>
          <w:rFonts w:ascii="Times New Roman" w:hAnsi="Times New Roman" w:cs="Times New Roman"/>
          <w:noProof/>
          <w:sz w:val="24"/>
          <w:szCs w:val="24"/>
        </w:rPr>
        <w:t xml:space="preserve"> sector in European countries (Enciu M., 2003), </w:t>
      </w:r>
      <w:r w:rsidRPr="00210932">
        <w:rPr>
          <w:rFonts w:ascii="Times New Roman" w:hAnsi="Times New Roman" w:cs="Times New Roman"/>
          <w:noProof/>
          <w:sz w:val="24"/>
          <w:szCs w:val="24"/>
        </w:rPr>
        <w:t>becoming</w:t>
      </w:r>
      <w:r>
        <w:rPr>
          <w:rFonts w:ascii="Times New Roman" w:hAnsi="Times New Roman" w:cs="Times New Roman"/>
          <w:noProof/>
          <w:sz w:val="24"/>
          <w:szCs w:val="24"/>
        </w:rPr>
        <w:t xml:space="preserve"> </w:t>
      </w:r>
      <w:r w:rsidRPr="00210932">
        <w:rPr>
          <w:rFonts w:ascii="Times New Roman" w:hAnsi="Times New Roman" w:cs="Times New Roman"/>
          <w:noProof/>
          <w:sz w:val="24"/>
          <w:szCs w:val="24"/>
        </w:rPr>
        <w:t xml:space="preserve">in almost all European countries an important way of </w:t>
      </w:r>
      <w:r>
        <w:rPr>
          <w:rFonts w:ascii="Times New Roman" w:hAnsi="Times New Roman" w:cs="Times New Roman"/>
          <w:noProof/>
          <w:sz w:val="24"/>
          <w:szCs w:val="24"/>
        </w:rPr>
        <w:t>attracting</w:t>
      </w:r>
      <w:r w:rsidRPr="00210932">
        <w:rPr>
          <w:rFonts w:ascii="Times New Roman" w:hAnsi="Times New Roman" w:cs="Times New Roman"/>
          <w:noProof/>
          <w:sz w:val="24"/>
          <w:szCs w:val="24"/>
        </w:rPr>
        <w:t xml:space="preserve"> significant share of </w:t>
      </w:r>
      <w:r>
        <w:rPr>
          <w:rFonts w:ascii="Times New Roman" w:hAnsi="Times New Roman" w:cs="Times New Roman"/>
          <w:noProof/>
          <w:sz w:val="24"/>
          <w:szCs w:val="24"/>
        </w:rPr>
        <w:t xml:space="preserve">the </w:t>
      </w:r>
      <w:r w:rsidRPr="00210932">
        <w:rPr>
          <w:rFonts w:ascii="Times New Roman" w:hAnsi="Times New Roman" w:cs="Times New Roman"/>
          <w:noProof/>
          <w:sz w:val="24"/>
          <w:szCs w:val="24"/>
        </w:rPr>
        <w:t>household savings.</w:t>
      </w:r>
    </w:p>
    <w:p w:rsidR="003D7500" w:rsidRPr="003D7500" w:rsidRDefault="003D7500" w:rsidP="003D7500">
      <w:pPr>
        <w:spacing w:after="120" w:line="240" w:lineRule="auto"/>
        <w:jc w:val="both"/>
        <w:rPr>
          <w:rFonts w:ascii="Times New Roman" w:hAnsi="Times New Roman" w:cs="Times New Roman"/>
          <w:noProof/>
          <w:sz w:val="24"/>
          <w:szCs w:val="24"/>
        </w:rPr>
      </w:pPr>
      <w:r w:rsidRPr="003D7500">
        <w:rPr>
          <w:rFonts w:ascii="Times New Roman" w:hAnsi="Times New Roman" w:cs="Times New Roman"/>
          <w:noProof/>
          <w:sz w:val="24"/>
          <w:szCs w:val="24"/>
        </w:rPr>
        <w:t>The process of gradual migration of household savings from bank deposits classic was largely directed to investment funds</w:t>
      </w:r>
      <w:r>
        <w:rPr>
          <w:rFonts w:ascii="Times New Roman" w:hAnsi="Times New Roman" w:cs="Times New Roman"/>
          <w:noProof/>
          <w:sz w:val="24"/>
          <w:szCs w:val="24"/>
        </w:rPr>
        <w:t xml:space="preserve"> use</w:t>
      </w:r>
      <w:r w:rsidRPr="003D7500">
        <w:rPr>
          <w:rFonts w:ascii="Times New Roman" w:hAnsi="Times New Roman" w:cs="Times New Roman"/>
          <w:noProof/>
          <w:sz w:val="24"/>
          <w:szCs w:val="24"/>
        </w:rPr>
        <w:t xml:space="preserve">, which recorded </w:t>
      </w:r>
      <w:r>
        <w:rPr>
          <w:rFonts w:ascii="Times New Roman" w:hAnsi="Times New Roman" w:cs="Times New Roman"/>
          <w:noProof/>
          <w:sz w:val="24"/>
          <w:szCs w:val="24"/>
        </w:rPr>
        <w:t xml:space="preserve">gradually </w:t>
      </w:r>
      <w:r w:rsidRPr="003D7500">
        <w:rPr>
          <w:rFonts w:ascii="Times New Roman" w:hAnsi="Times New Roman" w:cs="Times New Roman"/>
          <w:noProof/>
          <w:sz w:val="24"/>
          <w:szCs w:val="24"/>
        </w:rPr>
        <w:t xml:space="preserve">a higher growth rate of </w:t>
      </w:r>
      <w:r>
        <w:rPr>
          <w:rFonts w:ascii="Times New Roman" w:hAnsi="Times New Roman" w:cs="Times New Roman"/>
          <w:noProof/>
          <w:sz w:val="24"/>
          <w:szCs w:val="24"/>
        </w:rPr>
        <w:t xml:space="preserve">the </w:t>
      </w:r>
      <w:r w:rsidRPr="003D7500">
        <w:rPr>
          <w:rFonts w:ascii="Times New Roman" w:hAnsi="Times New Roman" w:cs="Times New Roman"/>
          <w:noProof/>
          <w:sz w:val="24"/>
          <w:szCs w:val="24"/>
        </w:rPr>
        <w:t>total attracted</w:t>
      </w:r>
      <w:r>
        <w:rPr>
          <w:rFonts w:ascii="Times New Roman" w:hAnsi="Times New Roman" w:cs="Times New Roman"/>
          <w:noProof/>
          <w:sz w:val="24"/>
          <w:szCs w:val="24"/>
        </w:rPr>
        <w:t xml:space="preserve"> assets</w:t>
      </w:r>
      <w:r w:rsidRPr="003D7500">
        <w:rPr>
          <w:rFonts w:ascii="Times New Roman" w:hAnsi="Times New Roman" w:cs="Times New Roman"/>
          <w:noProof/>
          <w:sz w:val="24"/>
          <w:szCs w:val="24"/>
        </w:rPr>
        <w:t xml:space="preserve">. This situation can be explained mainly on account of lower </w:t>
      </w:r>
      <w:r>
        <w:rPr>
          <w:rFonts w:ascii="Times New Roman" w:hAnsi="Times New Roman" w:cs="Times New Roman"/>
          <w:noProof/>
          <w:sz w:val="24"/>
          <w:szCs w:val="24"/>
        </w:rPr>
        <w:t>interest rates on bank deposits, higher disposable incomes, increasing financial education</w:t>
      </w:r>
      <w:r w:rsidRPr="003D7500">
        <w:rPr>
          <w:rFonts w:ascii="Times New Roman" w:hAnsi="Times New Roman" w:cs="Times New Roman"/>
          <w:noProof/>
          <w:sz w:val="24"/>
          <w:szCs w:val="24"/>
        </w:rPr>
        <w:t>, th</w:t>
      </w:r>
      <w:r w:rsidR="00210932">
        <w:rPr>
          <w:rFonts w:ascii="Times New Roman" w:hAnsi="Times New Roman" w:cs="Times New Roman"/>
          <w:noProof/>
          <w:sz w:val="24"/>
          <w:szCs w:val="24"/>
        </w:rPr>
        <w:t>e development of capital market</w:t>
      </w:r>
      <w:r w:rsidRPr="003D7500">
        <w:rPr>
          <w:rFonts w:ascii="Times New Roman" w:hAnsi="Times New Roman" w:cs="Times New Roman"/>
          <w:noProof/>
          <w:sz w:val="24"/>
          <w:szCs w:val="24"/>
        </w:rPr>
        <w:t xml:space="preserve">, but also </w:t>
      </w:r>
      <w:r w:rsidR="00210932">
        <w:rPr>
          <w:rFonts w:ascii="Times New Roman" w:hAnsi="Times New Roman" w:cs="Times New Roman"/>
          <w:noProof/>
          <w:sz w:val="24"/>
          <w:szCs w:val="24"/>
        </w:rPr>
        <w:t xml:space="preserve">on behalf </w:t>
      </w:r>
      <w:r w:rsidRPr="003D7500">
        <w:rPr>
          <w:rFonts w:ascii="Times New Roman" w:hAnsi="Times New Roman" w:cs="Times New Roman"/>
          <w:noProof/>
          <w:sz w:val="24"/>
          <w:szCs w:val="24"/>
        </w:rPr>
        <w:t>of the advantages</w:t>
      </w:r>
      <w:r w:rsidR="00210932">
        <w:rPr>
          <w:rFonts w:ascii="Times New Roman" w:hAnsi="Times New Roman" w:cs="Times New Roman"/>
          <w:noProof/>
          <w:sz w:val="24"/>
          <w:szCs w:val="24"/>
        </w:rPr>
        <w:t xml:space="preserve"> offered</w:t>
      </w:r>
      <w:r w:rsidRPr="003D7500">
        <w:rPr>
          <w:rFonts w:ascii="Times New Roman" w:hAnsi="Times New Roman" w:cs="Times New Roman"/>
          <w:noProof/>
          <w:sz w:val="24"/>
          <w:szCs w:val="24"/>
        </w:rPr>
        <w:t xml:space="preserve"> (</w:t>
      </w:r>
      <w:r w:rsidR="00210932">
        <w:rPr>
          <w:rFonts w:ascii="Times New Roman" w:hAnsi="Times New Roman" w:cs="Times New Roman"/>
          <w:noProof/>
          <w:sz w:val="24"/>
          <w:szCs w:val="24"/>
        </w:rPr>
        <w:t xml:space="preserve">e.g. better </w:t>
      </w:r>
      <w:r w:rsidRPr="003D7500">
        <w:rPr>
          <w:rFonts w:ascii="Times New Roman" w:hAnsi="Times New Roman" w:cs="Times New Roman"/>
          <w:noProof/>
          <w:sz w:val="24"/>
          <w:szCs w:val="24"/>
        </w:rPr>
        <w:t>diversification</w:t>
      </w:r>
      <w:r w:rsidR="00210932">
        <w:rPr>
          <w:rFonts w:ascii="Times New Roman" w:hAnsi="Times New Roman" w:cs="Times New Roman"/>
          <w:noProof/>
          <w:sz w:val="24"/>
          <w:szCs w:val="24"/>
        </w:rPr>
        <w:t xml:space="preserve"> of risk,</w:t>
      </w:r>
      <w:r w:rsidRPr="003D7500">
        <w:rPr>
          <w:rFonts w:ascii="Times New Roman" w:hAnsi="Times New Roman" w:cs="Times New Roman"/>
          <w:noProof/>
          <w:sz w:val="24"/>
          <w:szCs w:val="24"/>
        </w:rPr>
        <w:t xml:space="preserve"> cost savings , professional management </w:t>
      </w:r>
      <w:r w:rsidR="00210932">
        <w:rPr>
          <w:rFonts w:ascii="Times New Roman" w:hAnsi="Times New Roman" w:cs="Times New Roman"/>
          <w:noProof/>
          <w:sz w:val="24"/>
          <w:szCs w:val="24"/>
        </w:rPr>
        <w:t>etc.</w:t>
      </w:r>
      <w:r w:rsidRPr="003D7500">
        <w:rPr>
          <w:rFonts w:ascii="Times New Roman" w:hAnsi="Times New Roman" w:cs="Times New Roman"/>
          <w:noProof/>
          <w:sz w:val="24"/>
          <w:szCs w:val="24"/>
        </w:rPr>
        <w:t xml:space="preserve">) and </w:t>
      </w:r>
      <w:r w:rsidR="00210932">
        <w:rPr>
          <w:rFonts w:ascii="Times New Roman" w:hAnsi="Times New Roman" w:cs="Times New Roman"/>
          <w:noProof/>
          <w:sz w:val="24"/>
          <w:szCs w:val="24"/>
        </w:rPr>
        <w:t xml:space="preserve">higher </w:t>
      </w:r>
      <w:r w:rsidRPr="003D7500">
        <w:rPr>
          <w:rFonts w:ascii="Times New Roman" w:hAnsi="Times New Roman" w:cs="Times New Roman"/>
          <w:noProof/>
          <w:sz w:val="24"/>
          <w:szCs w:val="24"/>
        </w:rPr>
        <w:t>return</w:t>
      </w:r>
      <w:r w:rsidR="00210932">
        <w:rPr>
          <w:rFonts w:ascii="Times New Roman" w:hAnsi="Times New Roman" w:cs="Times New Roman"/>
          <w:noProof/>
          <w:sz w:val="24"/>
          <w:szCs w:val="24"/>
        </w:rPr>
        <w:t>s</w:t>
      </w:r>
      <w:r w:rsidRPr="003D7500">
        <w:rPr>
          <w:rFonts w:ascii="Times New Roman" w:hAnsi="Times New Roman" w:cs="Times New Roman"/>
          <w:noProof/>
          <w:sz w:val="24"/>
          <w:szCs w:val="24"/>
        </w:rPr>
        <w:t xml:space="preserve"> on investment</w:t>
      </w:r>
      <w:r w:rsidR="00210932">
        <w:rPr>
          <w:rFonts w:ascii="Times New Roman" w:hAnsi="Times New Roman" w:cs="Times New Roman"/>
          <w:noProof/>
          <w:sz w:val="24"/>
          <w:szCs w:val="24"/>
        </w:rPr>
        <w:t>s</w:t>
      </w:r>
      <w:r w:rsidRPr="003D7500">
        <w:rPr>
          <w:rFonts w:ascii="Times New Roman" w:hAnsi="Times New Roman" w:cs="Times New Roman"/>
          <w:noProof/>
          <w:sz w:val="24"/>
          <w:szCs w:val="24"/>
        </w:rPr>
        <w:t>.</w:t>
      </w:r>
    </w:p>
    <w:p w:rsidR="003D7500" w:rsidRDefault="003D7500" w:rsidP="00DB67E6">
      <w:pPr>
        <w:spacing w:after="6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Investment funds became</w:t>
      </w:r>
      <w:r w:rsidRPr="003D7500">
        <w:rPr>
          <w:rFonts w:ascii="Times New Roman" w:hAnsi="Times New Roman" w:cs="Times New Roman"/>
          <w:spacing w:val="-2"/>
          <w:sz w:val="24"/>
          <w:szCs w:val="24"/>
        </w:rPr>
        <w:t xml:space="preserve"> debt financiers by the fact that, by their significance, they have a certain percentage of the portfolio </w:t>
      </w:r>
      <w:r>
        <w:rPr>
          <w:rFonts w:ascii="Times New Roman" w:hAnsi="Times New Roman" w:cs="Times New Roman"/>
          <w:spacing w:val="-2"/>
          <w:sz w:val="24"/>
          <w:szCs w:val="24"/>
        </w:rPr>
        <w:t xml:space="preserve">placed </w:t>
      </w:r>
      <w:r w:rsidRPr="003D7500">
        <w:rPr>
          <w:rFonts w:ascii="Times New Roman" w:hAnsi="Times New Roman" w:cs="Times New Roman"/>
          <w:spacing w:val="-2"/>
          <w:sz w:val="24"/>
          <w:szCs w:val="24"/>
        </w:rPr>
        <w:t>in money market instruments issued by the state. Here</w:t>
      </w:r>
      <w:r>
        <w:rPr>
          <w:rFonts w:ascii="Times New Roman" w:hAnsi="Times New Roman" w:cs="Times New Roman"/>
          <w:spacing w:val="-2"/>
          <w:sz w:val="24"/>
          <w:szCs w:val="24"/>
        </w:rPr>
        <w:t>, a</w:t>
      </w:r>
      <w:r w:rsidRPr="003D7500">
        <w:rPr>
          <w:rFonts w:ascii="Times New Roman" w:hAnsi="Times New Roman" w:cs="Times New Roman"/>
          <w:spacing w:val="-2"/>
          <w:sz w:val="24"/>
          <w:szCs w:val="24"/>
        </w:rPr>
        <w:t xml:space="preserve"> particular importance rises </w:t>
      </w:r>
      <w:r>
        <w:rPr>
          <w:rFonts w:ascii="Times New Roman" w:hAnsi="Times New Roman" w:cs="Times New Roman"/>
          <w:spacing w:val="-2"/>
          <w:sz w:val="24"/>
          <w:szCs w:val="24"/>
        </w:rPr>
        <w:t xml:space="preserve">over the money market funds functionality, which, as per their organization </w:t>
      </w:r>
      <w:r w:rsidRPr="003D7500">
        <w:rPr>
          <w:rFonts w:ascii="Times New Roman" w:hAnsi="Times New Roman" w:cs="Times New Roman"/>
          <w:spacing w:val="-2"/>
          <w:sz w:val="24"/>
          <w:szCs w:val="24"/>
        </w:rPr>
        <w:t xml:space="preserve">is considered to </w:t>
      </w:r>
      <w:r>
        <w:rPr>
          <w:rFonts w:ascii="Times New Roman" w:hAnsi="Times New Roman" w:cs="Times New Roman"/>
          <w:spacing w:val="-2"/>
          <w:sz w:val="24"/>
          <w:szCs w:val="24"/>
        </w:rPr>
        <w:t>have the bulk of capital (80</w:t>
      </w:r>
      <w:r w:rsidRPr="003D7500">
        <w:rPr>
          <w:rFonts w:ascii="Times New Roman" w:hAnsi="Times New Roman" w:cs="Times New Roman"/>
          <w:spacing w:val="-2"/>
          <w:sz w:val="24"/>
          <w:szCs w:val="24"/>
        </w:rPr>
        <w:t xml:space="preserve">%) </w:t>
      </w:r>
      <w:r>
        <w:rPr>
          <w:rFonts w:ascii="Times New Roman" w:hAnsi="Times New Roman" w:cs="Times New Roman"/>
          <w:spacing w:val="-2"/>
          <w:sz w:val="24"/>
          <w:szCs w:val="24"/>
        </w:rPr>
        <w:t>allocated on medium and short period monetary instruments</w:t>
      </w:r>
      <w:r w:rsidRPr="003D7500">
        <w:rPr>
          <w:rFonts w:ascii="Times New Roman" w:hAnsi="Times New Roman" w:cs="Times New Roman"/>
          <w:spacing w:val="-2"/>
          <w:sz w:val="24"/>
          <w:szCs w:val="24"/>
        </w:rPr>
        <w:t>, such as government securities , treasury bills , bank deposits, certificates of deposit and bonds.</w:t>
      </w:r>
    </w:p>
    <w:p w:rsidR="00DB6BF0" w:rsidRPr="00DB6BF0" w:rsidRDefault="00DB6BF0" w:rsidP="00DB6BF0">
      <w:pPr>
        <w:spacing w:after="60" w:line="240" w:lineRule="auto"/>
        <w:jc w:val="both"/>
        <w:rPr>
          <w:rFonts w:ascii="Times New Roman" w:hAnsi="Times New Roman" w:cs="Times New Roman"/>
          <w:spacing w:val="-2"/>
          <w:sz w:val="24"/>
          <w:szCs w:val="24"/>
        </w:rPr>
      </w:pPr>
      <w:r w:rsidRPr="00DB6BF0">
        <w:rPr>
          <w:rFonts w:ascii="Times New Roman" w:hAnsi="Times New Roman" w:cs="Times New Roman"/>
          <w:spacing w:val="-2"/>
          <w:sz w:val="24"/>
          <w:szCs w:val="24"/>
        </w:rPr>
        <w:t xml:space="preserve">Locally, these funds have grown in popularity </w:t>
      </w:r>
      <w:r>
        <w:rPr>
          <w:rFonts w:ascii="Times New Roman" w:hAnsi="Times New Roman" w:cs="Times New Roman"/>
          <w:spacing w:val="-2"/>
          <w:sz w:val="24"/>
          <w:szCs w:val="24"/>
        </w:rPr>
        <w:t xml:space="preserve">only </w:t>
      </w:r>
      <w:r w:rsidRPr="00DB6BF0">
        <w:rPr>
          <w:rFonts w:ascii="Times New Roman" w:hAnsi="Times New Roman" w:cs="Times New Roman"/>
          <w:spacing w:val="-2"/>
          <w:sz w:val="24"/>
          <w:szCs w:val="24"/>
        </w:rPr>
        <w:t>during the past year</w:t>
      </w:r>
      <w:r>
        <w:rPr>
          <w:rFonts w:ascii="Times New Roman" w:hAnsi="Times New Roman" w:cs="Times New Roman"/>
          <w:spacing w:val="-2"/>
          <w:sz w:val="24"/>
          <w:szCs w:val="24"/>
        </w:rPr>
        <w:t>s</w:t>
      </w:r>
      <w:r w:rsidRPr="00DB6BF0">
        <w:rPr>
          <w:rFonts w:ascii="Times New Roman" w:hAnsi="Times New Roman" w:cs="Times New Roman"/>
          <w:spacing w:val="-2"/>
          <w:sz w:val="24"/>
          <w:szCs w:val="24"/>
        </w:rPr>
        <w:t xml:space="preserve">. While </w:t>
      </w:r>
      <w:r>
        <w:rPr>
          <w:rFonts w:ascii="Times New Roman" w:hAnsi="Times New Roman" w:cs="Times New Roman"/>
          <w:spacing w:val="-2"/>
          <w:sz w:val="24"/>
          <w:szCs w:val="24"/>
        </w:rPr>
        <w:t>balanced</w:t>
      </w:r>
      <w:r w:rsidRPr="00DB6BF0">
        <w:rPr>
          <w:rFonts w:ascii="Times New Roman" w:hAnsi="Times New Roman" w:cs="Times New Roman"/>
          <w:spacing w:val="-2"/>
          <w:sz w:val="24"/>
          <w:szCs w:val="24"/>
        </w:rPr>
        <w:t xml:space="preserve"> funds attract most of the Romanian investors, money market funds registered in 2006-2010 </w:t>
      </w:r>
      <w:r>
        <w:rPr>
          <w:rFonts w:ascii="Times New Roman" w:hAnsi="Times New Roman" w:cs="Times New Roman"/>
          <w:spacing w:val="-2"/>
          <w:sz w:val="24"/>
          <w:szCs w:val="24"/>
        </w:rPr>
        <w:t>an</w:t>
      </w:r>
      <w:r w:rsidRPr="00DB6BF0">
        <w:rPr>
          <w:rFonts w:ascii="Times New Roman" w:hAnsi="Times New Roman" w:cs="Times New Roman"/>
          <w:spacing w:val="-2"/>
          <w:sz w:val="24"/>
          <w:szCs w:val="24"/>
        </w:rPr>
        <w:t xml:space="preserve"> </w:t>
      </w:r>
      <w:r>
        <w:rPr>
          <w:rFonts w:ascii="Times New Roman" w:hAnsi="Times New Roman" w:cs="Times New Roman"/>
          <w:spacing w:val="-2"/>
          <w:sz w:val="24"/>
          <w:szCs w:val="24"/>
        </w:rPr>
        <w:t>annual growth rate of 144.93</w:t>
      </w:r>
      <w:r w:rsidRPr="00DB6BF0">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in average </w:t>
      </w:r>
      <w:r w:rsidRPr="00DB6BF0">
        <w:rPr>
          <w:rFonts w:ascii="Times New Roman" w:hAnsi="Times New Roman" w:cs="Times New Roman"/>
          <w:spacing w:val="-2"/>
          <w:sz w:val="24"/>
          <w:szCs w:val="24"/>
        </w:rPr>
        <w:t>per year</w:t>
      </w:r>
      <w:r>
        <w:rPr>
          <w:rFonts w:ascii="Times New Roman" w:hAnsi="Times New Roman" w:cs="Times New Roman"/>
          <w:spacing w:val="-2"/>
          <w:sz w:val="24"/>
          <w:szCs w:val="24"/>
        </w:rPr>
        <w:t>, p</w:t>
      </w:r>
      <w:r w:rsidRPr="00DB6BF0">
        <w:rPr>
          <w:rFonts w:ascii="Times New Roman" w:hAnsi="Times New Roman" w:cs="Times New Roman"/>
          <w:spacing w:val="-2"/>
          <w:sz w:val="24"/>
          <w:szCs w:val="24"/>
        </w:rPr>
        <w:t xml:space="preserve">receded by </w:t>
      </w:r>
      <w:r>
        <w:rPr>
          <w:rFonts w:ascii="Times New Roman" w:hAnsi="Times New Roman" w:cs="Times New Roman"/>
          <w:spacing w:val="-2"/>
          <w:sz w:val="24"/>
          <w:szCs w:val="24"/>
        </w:rPr>
        <w:t>fixed instruments</w:t>
      </w:r>
      <w:r w:rsidRPr="00DB6BF0">
        <w:rPr>
          <w:rFonts w:ascii="Times New Roman" w:hAnsi="Times New Roman" w:cs="Times New Roman"/>
          <w:spacing w:val="-2"/>
          <w:sz w:val="24"/>
          <w:szCs w:val="24"/>
        </w:rPr>
        <w:t xml:space="preserve"> funds at an annu</w:t>
      </w:r>
      <w:r>
        <w:rPr>
          <w:rFonts w:ascii="Times New Roman" w:hAnsi="Times New Roman" w:cs="Times New Roman"/>
          <w:spacing w:val="-2"/>
          <w:sz w:val="24"/>
          <w:szCs w:val="24"/>
        </w:rPr>
        <w:t>al rate of increase of about 34%</w:t>
      </w:r>
      <w:r w:rsidRPr="00DB6BF0">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The money market dynamics started at the time with the </w:t>
      </w:r>
      <w:r w:rsidRPr="00DB6BF0">
        <w:rPr>
          <w:rFonts w:ascii="Times New Roman" w:hAnsi="Times New Roman" w:cs="Times New Roman"/>
          <w:spacing w:val="-2"/>
          <w:sz w:val="24"/>
          <w:szCs w:val="24"/>
        </w:rPr>
        <w:t xml:space="preserve">decreasing </w:t>
      </w:r>
      <w:r>
        <w:rPr>
          <w:rFonts w:ascii="Times New Roman" w:hAnsi="Times New Roman" w:cs="Times New Roman"/>
          <w:spacing w:val="-2"/>
          <w:sz w:val="24"/>
          <w:szCs w:val="24"/>
        </w:rPr>
        <w:t xml:space="preserve">of </w:t>
      </w:r>
      <w:r w:rsidRPr="00DB6BF0">
        <w:rPr>
          <w:rFonts w:ascii="Times New Roman" w:hAnsi="Times New Roman" w:cs="Times New Roman"/>
          <w:spacing w:val="-2"/>
          <w:sz w:val="24"/>
          <w:szCs w:val="24"/>
        </w:rPr>
        <w:t>interest rates on treasury bills and bank deposits (</w:t>
      </w:r>
      <w:r>
        <w:rPr>
          <w:rFonts w:ascii="Times New Roman" w:hAnsi="Times New Roman" w:cs="Times New Roman"/>
          <w:spacing w:val="-2"/>
          <w:sz w:val="24"/>
          <w:szCs w:val="24"/>
        </w:rPr>
        <w:t xml:space="preserve">i.e. </w:t>
      </w:r>
      <w:r w:rsidRPr="00DB6BF0">
        <w:rPr>
          <w:rFonts w:ascii="Times New Roman" w:hAnsi="Times New Roman" w:cs="Times New Roman"/>
          <w:spacing w:val="-2"/>
          <w:sz w:val="24"/>
          <w:szCs w:val="24"/>
        </w:rPr>
        <w:t>2005 - 2006)</w:t>
      </w:r>
      <w:r>
        <w:rPr>
          <w:rFonts w:ascii="Times New Roman" w:hAnsi="Times New Roman" w:cs="Times New Roman"/>
          <w:spacing w:val="-2"/>
          <w:sz w:val="24"/>
          <w:szCs w:val="24"/>
        </w:rPr>
        <w:t>. During that time, the situatio</w:t>
      </w:r>
      <w:r w:rsidRPr="00DB6BF0">
        <w:rPr>
          <w:rFonts w:ascii="Times New Roman" w:hAnsi="Times New Roman" w:cs="Times New Roman"/>
          <w:spacing w:val="-2"/>
          <w:sz w:val="24"/>
          <w:szCs w:val="24"/>
        </w:rPr>
        <w:t xml:space="preserve">n led to the reduction of the </w:t>
      </w:r>
      <w:r w:rsidR="003D7500">
        <w:rPr>
          <w:rFonts w:ascii="Times New Roman" w:hAnsi="Times New Roman" w:cs="Times New Roman"/>
          <w:spacing w:val="-2"/>
          <w:sz w:val="24"/>
          <w:szCs w:val="24"/>
        </w:rPr>
        <w:t xml:space="preserve">money market funds </w:t>
      </w:r>
      <w:r w:rsidRPr="00DB6BF0">
        <w:rPr>
          <w:rFonts w:ascii="Times New Roman" w:hAnsi="Times New Roman" w:cs="Times New Roman"/>
          <w:spacing w:val="-2"/>
          <w:sz w:val="24"/>
          <w:szCs w:val="24"/>
        </w:rPr>
        <w:t xml:space="preserve">share of 31.82 % in 2005 to just 20.20 % in 2006. </w:t>
      </w:r>
      <w:r w:rsidR="003D7500">
        <w:rPr>
          <w:rFonts w:ascii="Times New Roman" w:hAnsi="Times New Roman" w:cs="Times New Roman"/>
          <w:spacing w:val="-2"/>
          <w:sz w:val="24"/>
          <w:szCs w:val="24"/>
        </w:rPr>
        <w:lastRenderedPageBreak/>
        <w:t xml:space="preserve">Beside this, the </w:t>
      </w:r>
      <w:r w:rsidRPr="00DB6BF0">
        <w:rPr>
          <w:rFonts w:ascii="Times New Roman" w:hAnsi="Times New Roman" w:cs="Times New Roman"/>
          <w:spacing w:val="-2"/>
          <w:sz w:val="24"/>
          <w:szCs w:val="24"/>
        </w:rPr>
        <w:t xml:space="preserve">underdeveloped fixed-income market </w:t>
      </w:r>
      <w:r w:rsidR="003D7500">
        <w:rPr>
          <w:rFonts w:ascii="Times New Roman" w:hAnsi="Times New Roman" w:cs="Times New Roman"/>
          <w:spacing w:val="-2"/>
          <w:sz w:val="24"/>
          <w:szCs w:val="24"/>
        </w:rPr>
        <w:t xml:space="preserve">has </w:t>
      </w:r>
      <w:r w:rsidRPr="00DB6BF0">
        <w:rPr>
          <w:rFonts w:ascii="Times New Roman" w:hAnsi="Times New Roman" w:cs="Times New Roman"/>
          <w:spacing w:val="-2"/>
          <w:sz w:val="24"/>
          <w:szCs w:val="24"/>
        </w:rPr>
        <w:t xml:space="preserve">contributed to </w:t>
      </w:r>
      <w:r w:rsidR="003D7500">
        <w:rPr>
          <w:rFonts w:ascii="Times New Roman" w:hAnsi="Times New Roman" w:cs="Times New Roman"/>
          <w:spacing w:val="-2"/>
          <w:sz w:val="24"/>
          <w:szCs w:val="24"/>
        </w:rPr>
        <w:t xml:space="preserve">the </w:t>
      </w:r>
      <w:r w:rsidRPr="00DB6BF0">
        <w:rPr>
          <w:rFonts w:ascii="Times New Roman" w:hAnsi="Times New Roman" w:cs="Times New Roman"/>
          <w:spacing w:val="-2"/>
          <w:sz w:val="24"/>
          <w:szCs w:val="24"/>
        </w:rPr>
        <w:t xml:space="preserve">impaired development </w:t>
      </w:r>
      <w:r w:rsidR="003D7500">
        <w:rPr>
          <w:rFonts w:ascii="Times New Roman" w:hAnsi="Times New Roman" w:cs="Times New Roman"/>
          <w:spacing w:val="-2"/>
          <w:sz w:val="24"/>
          <w:szCs w:val="24"/>
        </w:rPr>
        <w:t>of the Romanian money market funds i</w:t>
      </w:r>
      <w:r w:rsidRPr="00DB6BF0">
        <w:rPr>
          <w:rFonts w:ascii="Times New Roman" w:hAnsi="Times New Roman" w:cs="Times New Roman"/>
          <w:spacing w:val="-2"/>
          <w:sz w:val="24"/>
          <w:szCs w:val="24"/>
        </w:rPr>
        <w:t xml:space="preserve">n Romania </w:t>
      </w:r>
      <w:r w:rsidR="003D7500">
        <w:rPr>
          <w:rFonts w:ascii="Times New Roman" w:hAnsi="Times New Roman" w:cs="Times New Roman"/>
          <w:spacing w:val="-2"/>
          <w:sz w:val="24"/>
          <w:szCs w:val="24"/>
        </w:rPr>
        <w:t>(</w:t>
      </w:r>
      <w:r>
        <w:rPr>
          <w:rFonts w:ascii="Times New Roman" w:hAnsi="Times New Roman" w:cs="Times New Roman"/>
          <w:spacing w:val="-2"/>
          <w:sz w:val="24"/>
          <w:szCs w:val="24"/>
        </w:rPr>
        <w:t>F</w:t>
      </w:r>
      <w:r w:rsidRPr="00DB6BF0">
        <w:rPr>
          <w:rFonts w:ascii="Times New Roman" w:hAnsi="Times New Roman" w:cs="Times New Roman"/>
          <w:spacing w:val="-2"/>
          <w:sz w:val="24"/>
          <w:szCs w:val="24"/>
        </w:rPr>
        <w:t>ilip A., 2008).</w:t>
      </w:r>
    </w:p>
    <w:p w:rsidR="00CD7972" w:rsidRPr="00CD7972" w:rsidRDefault="00CD7972" w:rsidP="00CD7972">
      <w:pPr>
        <w:pStyle w:val="Caption"/>
        <w:spacing w:before="0" w:beforeAutospacing="0" w:after="120" w:afterAutospacing="0"/>
        <w:jc w:val="both"/>
        <w:rPr>
          <w:noProof/>
        </w:rPr>
      </w:pPr>
      <w:r>
        <w:rPr>
          <w:noProof/>
        </w:rPr>
        <w:t>However</w:t>
      </w:r>
      <w:r w:rsidRPr="00CD7972">
        <w:rPr>
          <w:noProof/>
        </w:rPr>
        <w:t xml:space="preserve">, the </w:t>
      </w:r>
      <w:r>
        <w:rPr>
          <w:noProof/>
        </w:rPr>
        <w:t>2007-</w:t>
      </w:r>
      <w:r w:rsidRPr="00CD7972">
        <w:rPr>
          <w:noProof/>
        </w:rPr>
        <w:t>2010 financial crisis</w:t>
      </w:r>
      <w:r>
        <w:rPr>
          <w:noProof/>
        </w:rPr>
        <w:t xml:space="preserve"> has stimulated</w:t>
      </w:r>
      <w:r w:rsidRPr="00CD7972">
        <w:rPr>
          <w:noProof/>
        </w:rPr>
        <w:t xml:space="preserve"> investors refocus</w:t>
      </w:r>
      <w:r>
        <w:rPr>
          <w:noProof/>
        </w:rPr>
        <w:t>ing</w:t>
      </w:r>
      <w:r w:rsidRPr="00CD7972">
        <w:rPr>
          <w:noProof/>
        </w:rPr>
        <w:t xml:space="preserve"> from other categories of funds that h</w:t>
      </w:r>
      <w:r>
        <w:rPr>
          <w:noProof/>
        </w:rPr>
        <w:t xml:space="preserve">ave gained ground in 2005-2006 </w:t>
      </w:r>
      <w:r w:rsidRPr="00CD7972">
        <w:rPr>
          <w:noProof/>
        </w:rPr>
        <w:t>towards</w:t>
      </w:r>
      <w:r>
        <w:rPr>
          <w:noProof/>
        </w:rPr>
        <w:t xml:space="preserve"> the monetary market</w:t>
      </w:r>
      <w:r w:rsidRPr="00CD7972">
        <w:rPr>
          <w:noProof/>
        </w:rPr>
        <w:t xml:space="preserve"> funds</w:t>
      </w:r>
      <w:r>
        <w:rPr>
          <w:noProof/>
        </w:rPr>
        <w:t>. Consequently, the money market funds</w:t>
      </w:r>
      <w:r w:rsidRPr="00CD7972">
        <w:rPr>
          <w:noProof/>
        </w:rPr>
        <w:t xml:space="preserve"> gr</w:t>
      </w:r>
      <w:r>
        <w:rPr>
          <w:noProof/>
        </w:rPr>
        <w:t>ew up</w:t>
      </w:r>
      <w:r w:rsidRPr="00CD7972">
        <w:rPr>
          <w:noProof/>
        </w:rPr>
        <w:t xml:space="preserve"> </w:t>
      </w:r>
      <w:r w:rsidR="00DB6BF0">
        <w:rPr>
          <w:noProof/>
        </w:rPr>
        <w:t xml:space="preserve">to </w:t>
      </w:r>
      <w:r w:rsidRPr="00CD7972">
        <w:rPr>
          <w:noProof/>
        </w:rPr>
        <w:t>a number of five funds in 2009</w:t>
      </w:r>
      <w:r w:rsidR="00DB6BF0">
        <w:rPr>
          <w:noProof/>
        </w:rPr>
        <w:t xml:space="preserve"> and </w:t>
      </w:r>
      <w:r w:rsidR="00DB6BF0" w:rsidRPr="00CD7972">
        <w:rPr>
          <w:noProof/>
        </w:rPr>
        <w:t xml:space="preserve">to encompass </w:t>
      </w:r>
      <w:r w:rsidR="00DB6BF0">
        <w:rPr>
          <w:noProof/>
        </w:rPr>
        <w:t>53,35</w:t>
      </w:r>
      <w:r w:rsidRPr="00CD7972">
        <w:rPr>
          <w:noProof/>
        </w:rPr>
        <w:t>% of the managed</w:t>
      </w:r>
      <w:r w:rsidR="00DB6BF0">
        <w:rPr>
          <w:noProof/>
        </w:rPr>
        <w:t xml:space="preserve"> </w:t>
      </w:r>
      <w:r w:rsidR="00DB6BF0" w:rsidRPr="00CD7972">
        <w:rPr>
          <w:noProof/>
        </w:rPr>
        <w:t>assets</w:t>
      </w:r>
      <w:r w:rsidRPr="00CD7972">
        <w:rPr>
          <w:noProof/>
        </w:rPr>
        <w:t xml:space="preserve">. </w:t>
      </w:r>
      <w:r w:rsidR="00DB6BF0">
        <w:rPr>
          <w:noProof/>
        </w:rPr>
        <w:t xml:space="preserve">The connection of money market funds with the banking sector (i.e. </w:t>
      </w:r>
      <w:r w:rsidRPr="00CD7972">
        <w:rPr>
          <w:noProof/>
        </w:rPr>
        <w:t xml:space="preserve">5 </w:t>
      </w:r>
      <w:r w:rsidR="00DB6BF0">
        <w:rPr>
          <w:noProof/>
        </w:rPr>
        <w:t xml:space="preserve">local </w:t>
      </w:r>
      <w:r w:rsidRPr="00CD7972">
        <w:rPr>
          <w:noProof/>
        </w:rPr>
        <w:t>banks</w:t>
      </w:r>
      <w:r w:rsidR="00DB6BF0">
        <w:rPr>
          <w:noProof/>
        </w:rPr>
        <w:t xml:space="preserve">) has impacted the monetary market </w:t>
      </w:r>
      <w:r w:rsidRPr="00CD7972">
        <w:rPr>
          <w:noProof/>
        </w:rPr>
        <w:t xml:space="preserve">revival </w:t>
      </w:r>
      <w:r w:rsidR="00DB6BF0">
        <w:rPr>
          <w:noProof/>
        </w:rPr>
        <w:t xml:space="preserve">starting with year 2007. In addition, money market funds like </w:t>
      </w:r>
      <w:r w:rsidRPr="00CD7972">
        <w:rPr>
          <w:noProof/>
        </w:rPr>
        <w:t xml:space="preserve">BCR </w:t>
      </w:r>
      <w:r w:rsidR="00DB6BF0">
        <w:rPr>
          <w:noProof/>
        </w:rPr>
        <w:t xml:space="preserve">Monetar </w:t>
      </w:r>
      <w:r w:rsidRPr="00CD7972">
        <w:rPr>
          <w:noProof/>
        </w:rPr>
        <w:t xml:space="preserve">and Raiffeisen </w:t>
      </w:r>
      <w:r w:rsidR="00DB6BF0">
        <w:rPr>
          <w:noProof/>
        </w:rPr>
        <w:t>Monetar</w:t>
      </w:r>
      <w:r w:rsidRPr="00CD7972">
        <w:rPr>
          <w:noProof/>
        </w:rPr>
        <w:t xml:space="preserve"> came to attract the largest num</w:t>
      </w:r>
      <w:r w:rsidR="00DB6BF0">
        <w:rPr>
          <w:noProof/>
        </w:rPr>
        <w:t>ber of investors in 2009-2010 (</w:t>
      </w:r>
      <w:r w:rsidRPr="00CD7972">
        <w:rPr>
          <w:noProof/>
        </w:rPr>
        <w:t>about 6 times higher in 2009</w:t>
      </w:r>
      <w:r w:rsidR="00DB6BF0">
        <w:rPr>
          <w:noProof/>
        </w:rPr>
        <w:t>, and by 1</w:t>
      </w:r>
      <w:r w:rsidRPr="00CD7972">
        <w:rPr>
          <w:noProof/>
        </w:rPr>
        <w:t>0 tim</w:t>
      </w:r>
      <w:r w:rsidR="00DB6BF0">
        <w:rPr>
          <w:noProof/>
        </w:rPr>
        <w:t>es higher in 2010 than in 2008)</w:t>
      </w:r>
      <w:r w:rsidRPr="00CD7972">
        <w:rPr>
          <w:noProof/>
        </w:rPr>
        <w:t>.</w:t>
      </w:r>
    </w:p>
    <w:p w:rsidR="00CD7972" w:rsidRPr="00CD7972" w:rsidRDefault="00CD7972" w:rsidP="00CD797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In the context of the s</w:t>
      </w:r>
      <w:r w:rsidRPr="00CD7972">
        <w:rPr>
          <w:rFonts w:ascii="Times New Roman" w:hAnsi="Times New Roman" w:cs="Times New Roman"/>
          <w:sz w:val="24"/>
          <w:szCs w:val="24"/>
        </w:rPr>
        <w:t>tatistical repor</w:t>
      </w:r>
      <w:r>
        <w:rPr>
          <w:rFonts w:ascii="Times New Roman" w:hAnsi="Times New Roman" w:cs="Times New Roman"/>
          <w:sz w:val="24"/>
          <w:szCs w:val="24"/>
        </w:rPr>
        <w:t>ted</w:t>
      </w:r>
      <w:r w:rsidRPr="00CD7972">
        <w:rPr>
          <w:rFonts w:ascii="Times New Roman" w:hAnsi="Times New Roman" w:cs="Times New Roman"/>
          <w:sz w:val="24"/>
          <w:szCs w:val="24"/>
        </w:rPr>
        <w:t xml:space="preserve"> public debt</w:t>
      </w:r>
      <w:r>
        <w:rPr>
          <w:rFonts w:ascii="Times New Roman" w:hAnsi="Times New Roman" w:cs="Times New Roman"/>
          <w:sz w:val="24"/>
          <w:szCs w:val="24"/>
        </w:rPr>
        <w:t>,</w:t>
      </w:r>
      <w:r w:rsidRPr="00CD7972">
        <w:rPr>
          <w:rFonts w:ascii="Times New Roman" w:hAnsi="Times New Roman" w:cs="Times New Roman"/>
          <w:sz w:val="24"/>
          <w:szCs w:val="24"/>
        </w:rPr>
        <w:t xml:space="preserve"> outlined in Table 1.8, at the end of 2014</w:t>
      </w:r>
      <w:r>
        <w:rPr>
          <w:rFonts w:ascii="Times New Roman" w:hAnsi="Times New Roman" w:cs="Times New Roman"/>
          <w:sz w:val="24"/>
          <w:szCs w:val="24"/>
        </w:rPr>
        <w:t xml:space="preserve">, </w:t>
      </w:r>
      <w:r w:rsidRPr="00CD7972">
        <w:rPr>
          <w:rFonts w:ascii="Times New Roman" w:hAnsi="Times New Roman" w:cs="Times New Roman"/>
          <w:sz w:val="24"/>
          <w:szCs w:val="24"/>
        </w:rPr>
        <w:t>Romanian mutual funds held a significant share of 5.7 % of public debt</w:t>
      </w:r>
      <w:r>
        <w:rPr>
          <w:rFonts w:ascii="Times New Roman" w:hAnsi="Times New Roman" w:cs="Times New Roman"/>
          <w:sz w:val="24"/>
          <w:szCs w:val="24"/>
        </w:rPr>
        <w:t>. Of this share, 2.5</w:t>
      </w:r>
      <w:r w:rsidRPr="00CD7972">
        <w:rPr>
          <w:rFonts w:ascii="Times New Roman" w:hAnsi="Times New Roman" w:cs="Times New Roman"/>
          <w:sz w:val="24"/>
          <w:szCs w:val="24"/>
        </w:rPr>
        <w:t xml:space="preserve">% being assumed by Erste Asset Management </w:t>
      </w:r>
      <w:r>
        <w:rPr>
          <w:rFonts w:ascii="Times New Roman" w:hAnsi="Times New Roman" w:cs="Times New Roman"/>
          <w:sz w:val="24"/>
          <w:szCs w:val="24"/>
        </w:rPr>
        <w:t xml:space="preserve">though its </w:t>
      </w:r>
      <w:r w:rsidRPr="00CD7972">
        <w:rPr>
          <w:rFonts w:ascii="Times New Roman" w:hAnsi="Times New Roman" w:cs="Times New Roman"/>
          <w:sz w:val="24"/>
          <w:szCs w:val="24"/>
        </w:rPr>
        <w:t>bond fund</w:t>
      </w:r>
      <w:r>
        <w:rPr>
          <w:rFonts w:ascii="Times New Roman" w:hAnsi="Times New Roman" w:cs="Times New Roman"/>
          <w:sz w:val="24"/>
          <w:szCs w:val="24"/>
        </w:rPr>
        <w:t>s</w:t>
      </w:r>
      <w:r w:rsidRPr="00CD7972">
        <w:rPr>
          <w:rFonts w:ascii="Times New Roman" w:hAnsi="Times New Roman" w:cs="Times New Roman"/>
          <w:sz w:val="24"/>
          <w:szCs w:val="24"/>
        </w:rPr>
        <w:t xml:space="preserve"> (issued on both dom</w:t>
      </w:r>
      <w:r>
        <w:rPr>
          <w:rFonts w:ascii="Times New Roman" w:hAnsi="Times New Roman" w:cs="Times New Roman"/>
          <w:sz w:val="24"/>
          <w:szCs w:val="24"/>
        </w:rPr>
        <w:t>estic and foreign market)</w:t>
      </w:r>
      <w:r w:rsidRPr="00CD7972">
        <w:rPr>
          <w:rFonts w:ascii="Times New Roman" w:hAnsi="Times New Roman" w:cs="Times New Roman"/>
          <w:sz w:val="24"/>
          <w:szCs w:val="24"/>
        </w:rPr>
        <w:t>.</w:t>
      </w:r>
    </w:p>
    <w:p w:rsidR="005473CE" w:rsidRPr="008F00C9" w:rsidRDefault="001C6EA2" w:rsidP="00DB67E6">
      <w:pPr>
        <w:spacing w:after="120" w:line="240" w:lineRule="auto"/>
        <w:jc w:val="both"/>
        <w:rPr>
          <w:rFonts w:ascii="Times New Roman" w:hAnsi="Times New Roman" w:cs="Times New Roman"/>
          <w:sz w:val="24"/>
          <w:szCs w:val="24"/>
        </w:rPr>
      </w:pPr>
      <w:r w:rsidRPr="008F00C9">
        <w:rPr>
          <w:rFonts w:ascii="Times New Roman" w:hAnsi="Times New Roman" w:cs="Times New Roman"/>
          <w:sz w:val="24"/>
          <w:szCs w:val="24"/>
        </w:rPr>
        <w:t xml:space="preserve">The impact of the collective investments role in financing the public debt of Romania is displayed in Table 1.2. For further insight over this calculation, </w:t>
      </w:r>
      <w:r w:rsidR="00635BC6" w:rsidRPr="008F00C9">
        <w:rPr>
          <w:rFonts w:ascii="Times New Roman" w:hAnsi="Times New Roman" w:cs="Times New Roman"/>
          <w:sz w:val="24"/>
          <w:szCs w:val="24"/>
        </w:rPr>
        <w:t>Appendix</w:t>
      </w:r>
      <w:r w:rsidRPr="008F00C9">
        <w:rPr>
          <w:rFonts w:ascii="Times New Roman" w:hAnsi="Times New Roman" w:cs="Times New Roman"/>
          <w:sz w:val="24"/>
          <w:szCs w:val="24"/>
        </w:rPr>
        <w:t xml:space="preserve"> 11 is also available. </w:t>
      </w:r>
    </w:p>
    <w:p w:rsidR="005473CE" w:rsidRPr="008F00C9" w:rsidRDefault="005473CE" w:rsidP="005473CE">
      <w:pPr>
        <w:pStyle w:val="Caption"/>
        <w:spacing w:before="0" w:beforeAutospacing="0" w:after="0" w:afterAutospacing="0"/>
        <w:jc w:val="center"/>
        <w:rPr>
          <w:b/>
          <w:sz w:val="20"/>
          <w:szCs w:val="20"/>
        </w:rPr>
      </w:pPr>
      <w:bookmarkStart w:id="12" w:name="_Toc449385110"/>
      <w:r w:rsidRPr="008F00C9">
        <w:rPr>
          <w:b/>
          <w:sz w:val="20"/>
          <w:szCs w:val="20"/>
        </w:rPr>
        <w:t>Tab</w:t>
      </w:r>
      <w:r w:rsidR="001C6EA2" w:rsidRPr="008F00C9">
        <w:rPr>
          <w:b/>
          <w:sz w:val="20"/>
          <w:szCs w:val="20"/>
        </w:rPr>
        <w:t>le</w:t>
      </w:r>
      <w:r w:rsidRPr="008F00C9">
        <w:rPr>
          <w:b/>
          <w:sz w:val="20"/>
          <w:szCs w:val="20"/>
        </w:rPr>
        <w:t xml:space="preserve"> 1. </w:t>
      </w:r>
      <w:r w:rsidR="004B4616" w:rsidRPr="008F00C9">
        <w:rPr>
          <w:b/>
          <w:sz w:val="20"/>
          <w:szCs w:val="20"/>
        </w:rPr>
        <w:fldChar w:fldCharType="begin"/>
      </w:r>
      <w:r w:rsidRPr="008F00C9">
        <w:rPr>
          <w:b/>
          <w:sz w:val="20"/>
          <w:szCs w:val="20"/>
        </w:rPr>
        <w:instrText xml:space="preserve"> SEQ Tabel_1. \* ARABIC </w:instrText>
      </w:r>
      <w:r w:rsidR="004B4616" w:rsidRPr="008F00C9">
        <w:rPr>
          <w:b/>
          <w:sz w:val="20"/>
          <w:szCs w:val="20"/>
        </w:rPr>
        <w:fldChar w:fldCharType="separate"/>
      </w:r>
      <w:r w:rsidR="00695698" w:rsidRPr="008F00C9">
        <w:rPr>
          <w:b/>
          <w:noProof/>
          <w:sz w:val="20"/>
          <w:szCs w:val="20"/>
        </w:rPr>
        <w:t>2</w:t>
      </w:r>
      <w:r w:rsidR="004B4616" w:rsidRPr="008F00C9">
        <w:rPr>
          <w:b/>
          <w:sz w:val="20"/>
          <w:szCs w:val="20"/>
        </w:rPr>
        <w:fldChar w:fldCharType="end"/>
      </w:r>
      <w:r w:rsidRPr="008F00C9">
        <w:rPr>
          <w:b/>
          <w:sz w:val="20"/>
          <w:szCs w:val="20"/>
        </w:rPr>
        <w:t xml:space="preserve"> </w:t>
      </w:r>
      <w:r w:rsidR="004C614C" w:rsidRPr="008F00C9">
        <w:rPr>
          <w:b/>
          <w:sz w:val="20"/>
          <w:szCs w:val="20"/>
        </w:rPr>
        <w:t xml:space="preserve">Collective investments share in financing the public debt of Romania </w:t>
      </w:r>
      <w:r w:rsidR="001C6EA2" w:rsidRPr="008F00C9">
        <w:rPr>
          <w:b/>
          <w:sz w:val="20"/>
          <w:szCs w:val="20"/>
        </w:rPr>
        <w:t xml:space="preserve">during </w:t>
      </w:r>
      <w:r w:rsidRPr="008F00C9">
        <w:rPr>
          <w:b/>
          <w:sz w:val="20"/>
          <w:szCs w:val="20"/>
        </w:rPr>
        <w:t>2005-2014</w:t>
      </w:r>
      <w:bookmarkEnd w:id="12"/>
    </w:p>
    <w:tbl>
      <w:tblPr>
        <w:tblW w:w="5000" w:type="pct"/>
        <w:tblLook w:val="04A0"/>
      </w:tblPr>
      <w:tblGrid>
        <w:gridCol w:w="3499"/>
        <w:gridCol w:w="505"/>
        <w:gridCol w:w="505"/>
        <w:gridCol w:w="505"/>
        <w:gridCol w:w="473"/>
        <w:gridCol w:w="473"/>
        <w:gridCol w:w="474"/>
        <w:gridCol w:w="474"/>
        <w:gridCol w:w="474"/>
        <w:gridCol w:w="506"/>
        <w:gridCol w:w="506"/>
        <w:gridCol w:w="1182"/>
      </w:tblGrid>
      <w:tr w:rsidR="005473CE" w:rsidRPr="008F00C9" w:rsidTr="001C6EA2">
        <w:trPr>
          <w:trHeight w:val="300"/>
        </w:trPr>
        <w:tc>
          <w:tcPr>
            <w:tcW w:w="17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3CE" w:rsidRPr="008F00C9" w:rsidRDefault="001C6EA2" w:rsidP="0019180E">
            <w:pPr>
              <w:spacing w:after="0" w:line="240" w:lineRule="auto"/>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Collective investments (OPC) share in financing the public debt</w:t>
            </w:r>
            <w:r w:rsidR="005473CE" w:rsidRPr="008F00C9">
              <w:rPr>
                <w:rFonts w:ascii="Times New Roman" w:eastAsia="Times New Roman" w:hAnsi="Times New Roman" w:cs="Times New Roman"/>
                <w:color w:val="000000"/>
                <w:sz w:val="12"/>
                <w:szCs w:val="18"/>
              </w:rPr>
              <w:t xml:space="preserve"> (%)</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b/>
                <w:color w:val="000000"/>
                <w:sz w:val="12"/>
                <w:szCs w:val="18"/>
              </w:rPr>
            </w:pPr>
            <w:r w:rsidRPr="008F00C9">
              <w:rPr>
                <w:rFonts w:ascii="Times New Roman" w:eastAsia="Times New Roman" w:hAnsi="Times New Roman" w:cs="Times New Roman"/>
                <w:b/>
                <w:color w:val="000000"/>
                <w:sz w:val="12"/>
                <w:szCs w:val="18"/>
              </w:rPr>
              <w:t>2005</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b/>
                <w:color w:val="000000"/>
                <w:sz w:val="12"/>
                <w:szCs w:val="18"/>
              </w:rPr>
            </w:pPr>
            <w:r w:rsidRPr="008F00C9">
              <w:rPr>
                <w:rFonts w:ascii="Times New Roman" w:eastAsia="Times New Roman" w:hAnsi="Times New Roman" w:cs="Times New Roman"/>
                <w:b/>
                <w:color w:val="000000"/>
                <w:sz w:val="12"/>
                <w:szCs w:val="18"/>
              </w:rPr>
              <w:t>2006</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b/>
                <w:color w:val="000000"/>
                <w:sz w:val="12"/>
                <w:szCs w:val="18"/>
              </w:rPr>
            </w:pPr>
            <w:r w:rsidRPr="008F00C9">
              <w:rPr>
                <w:rFonts w:ascii="Times New Roman" w:eastAsia="Times New Roman" w:hAnsi="Times New Roman" w:cs="Times New Roman"/>
                <w:b/>
                <w:color w:val="000000"/>
                <w:sz w:val="12"/>
                <w:szCs w:val="18"/>
              </w:rPr>
              <w:t>2007</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b/>
                <w:color w:val="000000"/>
                <w:sz w:val="12"/>
                <w:szCs w:val="18"/>
              </w:rPr>
            </w:pPr>
            <w:r w:rsidRPr="008F00C9">
              <w:rPr>
                <w:rFonts w:ascii="Times New Roman" w:eastAsia="Times New Roman" w:hAnsi="Times New Roman" w:cs="Times New Roman"/>
                <w:b/>
                <w:color w:val="000000"/>
                <w:sz w:val="12"/>
                <w:szCs w:val="18"/>
              </w:rPr>
              <w:t>2008</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b/>
                <w:color w:val="000000"/>
                <w:sz w:val="12"/>
                <w:szCs w:val="18"/>
              </w:rPr>
            </w:pPr>
            <w:r w:rsidRPr="008F00C9">
              <w:rPr>
                <w:rFonts w:ascii="Times New Roman" w:eastAsia="Times New Roman" w:hAnsi="Times New Roman" w:cs="Times New Roman"/>
                <w:b/>
                <w:color w:val="000000"/>
                <w:sz w:val="12"/>
                <w:szCs w:val="18"/>
              </w:rPr>
              <w:t>2009</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b/>
                <w:color w:val="000000"/>
                <w:sz w:val="12"/>
                <w:szCs w:val="18"/>
              </w:rPr>
            </w:pPr>
            <w:r w:rsidRPr="008F00C9">
              <w:rPr>
                <w:rFonts w:ascii="Times New Roman" w:eastAsia="Times New Roman" w:hAnsi="Times New Roman" w:cs="Times New Roman"/>
                <w:b/>
                <w:color w:val="000000"/>
                <w:sz w:val="12"/>
                <w:szCs w:val="18"/>
              </w:rPr>
              <w:t>2010</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b/>
                <w:color w:val="000000"/>
                <w:sz w:val="12"/>
                <w:szCs w:val="18"/>
              </w:rPr>
            </w:pPr>
            <w:r w:rsidRPr="008F00C9">
              <w:rPr>
                <w:rFonts w:ascii="Times New Roman" w:eastAsia="Times New Roman" w:hAnsi="Times New Roman" w:cs="Times New Roman"/>
                <w:b/>
                <w:color w:val="000000"/>
                <w:sz w:val="12"/>
                <w:szCs w:val="18"/>
              </w:rPr>
              <w:t>2011</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b/>
                <w:color w:val="000000"/>
                <w:sz w:val="12"/>
                <w:szCs w:val="18"/>
              </w:rPr>
            </w:pPr>
            <w:r w:rsidRPr="008F00C9">
              <w:rPr>
                <w:rFonts w:ascii="Times New Roman" w:eastAsia="Times New Roman" w:hAnsi="Times New Roman" w:cs="Times New Roman"/>
                <w:b/>
                <w:color w:val="000000"/>
                <w:sz w:val="12"/>
                <w:szCs w:val="18"/>
              </w:rPr>
              <w:t>2012</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b/>
                <w:color w:val="000000"/>
                <w:sz w:val="12"/>
                <w:szCs w:val="18"/>
              </w:rPr>
            </w:pPr>
            <w:r w:rsidRPr="008F00C9">
              <w:rPr>
                <w:rFonts w:ascii="Times New Roman" w:eastAsia="Times New Roman" w:hAnsi="Times New Roman" w:cs="Times New Roman"/>
                <w:b/>
                <w:color w:val="000000"/>
                <w:sz w:val="12"/>
                <w:szCs w:val="18"/>
              </w:rPr>
              <w:t>2013</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b/>
                <w:color w:val="000000"/>
                <w:sz w:val="12"/>
                <w:szCs w:val="18"/>
              </w:rPr>
            </w:pPr>
            <w:r w:rsidRPr="008F00C9">
              <w:rPr>
                <w:rFonts w:ascii="Times New Roman" w:eastAsia="Times New Roman" w:hAnsi="Times New Roman" w:cs="Times New Roman"/>
                <w:b/>
                <w:color w:val="000000"/>
                <w:sz w:val="12"/>
                <w:szCs w:val="18"/>
              </w:rPr>
              <w:t>2014</w:t>
            </w:r>
          </w:p>
        </w:tc>
        <w:tc>
          <w:tcPr>
            <w:tcW w:w="620"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CD7972" w:rsidP="0019180E">
            <w:pPr>
              <w:spacing w:after="0" w:line="240" w:lineRule="auto"/>
              <w:rPr>
                <w:rFonts w:ascii="Times New Roman" w:eastAsia="Times New Roman" w:hAnsi="Times New Roman" w:cs="Times New Roman"/>
                <w:color w:val="000000"/>
                <w:sz w:val="12"/>
                <w:szCs w:val="18"/>
              </w:rPr>
            </w:pPr>
            <w:r>
              <w:rPr>
                <w:rFonts w:ascii="Times New Roman" w:eastAsia="Times New Roman" w:hAnsi="Times New Roman" w:cs="Times New Roman"/>
                <w:color w:val="000000"/>
                <w:sz w:val="12"/>
                <w:szCs w:val="18"/>
              </w:rPr>
              <w:t>Yearly avg rate</w:t>
            </w:r>
          </w:p>
        </w:tc>
      </w:tr>
      <w:tr w:rsidR="005473CE" w:rsidRPr="008F00C9" w:rsidTr="001C6EA2">
        <w:trPr>
          <w:trHeight w:val="300"/>
        </w:trPr>
        <w:tc>
          <w:tcPr>
            <w:tcW w:w="1794" w:type="pct"/>
            <w:tcBorders>
              <w:top w:val="nil"/>
              <w:left w:val="single" w:sz="4" w:space="0" w:color="auto"/>
              <w:bottom w:val="single" w:sz="4" w:space="0" w:color="auto"/>
              <w:right w:val="single" w:sz="4" w:space="0" w:color="auto"/>
            </w:tcBorders>
            <w:shd w:val="clear" w:color="auto" w:fill="auto"/>
            <w:noWrap/>
            <w:vAlign w:val="bottom"/>
            <w:hideMark/>
          </w:tcPr>
          <w:p w:rsidR="005473CE" w:rsidRPr="008F00C9" w:rsidRDefault="005473CE" w:rsidP="001C6EA2">
            <w:pPr>
              <w:spacing w:after="0" w:line="240" w:lineRule="auto"/>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 xml:space="preserve">%OPC in </w:t>
            </w:r>
            <w:r w:rsidR="001C6EA2" w:rsidRPr="008F00C9">
              <w:rPr>
                <w:rFonts w:ascii="Times New Roman" w:eastAsia="Times New Roman" w:hAnsi="Times New Roman" w:cs="Times New Roman"/>
                <w:color w:val="000000"/>
                <w:sz w:val="12"/>
                <w:szCs w:val="18"/>
              </w:rPr>
              <w:t>total public debt</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2.71</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3.23</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2.72</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1.48</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2.94</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3.55</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3.60</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4.14</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6.17</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7.19</w:t>
            </w:r>
          </w:p>
        </w:tc>
        <w:tc>
          <w:tcPr>
            <w:tcW w:w="62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3.77%</w:t>
            </w:r>
          </w:p>
        </w:tc>
      </w:tr>
      <w:tr w:rsidR="005473CE" w:rsidRPr="008F00C9" w:rsidTr="001C6EA2">
        <w:trPr>
          <w:trHeight w:val="300"/>
        </w:trPr>
        <w:tc>
          <w:tcPr>
            <w:tcW w:w="1794" w:type="pct"/>
            <w:tcBorders>
              <w:top w:val="nil"/>
              <w:left w:val="single" w:sz="4" w:space="0" w:color="auto"/>
              <w:bottom w:val="single" w:sz="4" w:space="0" w:color="auto"/>
              <w:right w:val="single" w:sz="4" w:space="0" w:color="auto"/>
            </w:tcBorders>
            <w:shd w:val="clear" w:color="auto" w:fill="auto"/>
            <w:noWrap/>
            <w:vAlign w:val="bottom"/>
            <w:hideMark/>
          </w:tcPr>
          <w:p w:rsidR="005473CE" w:rsidRPr="008F00C9" w:rsidRDefault="001C6EA2"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Mutual funds OPCVM</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2.10</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2.45</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2.28</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1.36</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2.83</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3.44</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3.51</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3.95</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5.94</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6.90</w:t>
            </w:r>
          </w:p>
        </w:tc>
        <w:tc>
          <w:tcPr>
            <w:tcW w:w="62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3.48%</w:t>
            </w:r>
          </w:p>
        </w:tc>
      </w:tr>
      <w:tr w:rsidR="005473CE" w:rsidRPr="008F00C9" w:rsidTr="001C6EA2">
        <w:trPr>
          <w:trHeight w:val="300"/>
        </w:trPr>
        <w:tc>
          <w:tcPr>
            <w:tcW w:w="1794" w:type="pct"/>
            <w:tcBorders>
              <w:top w:val="nil"/>
              <w:left w:val="single" w:sz="4" w:space="0" w:color="auto"/>
              <w:bottom w:val="single" w:sz="4" w:space="0" w:color="auto"/>
              <w:right w:val="single" w:sz="4" w:space="0" w:color="auto"/>
            </w:tcBorders>
            <w:shd w:val="clear" w:color="auto" w:fill="auto"/>
            <w:noWrap/>
            <w:vAlign w:val="bottom"/>
            <w:hideMark/>
          </w:tcPr>
          <w:p w:rsidR="005473CE" w:rsidRPr="008F00C9" w:rsidRDefault="001C6EA2"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Close-end funds AOPC</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0.61</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0.77</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0.44</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0.12</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0.12</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0.11</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0.09</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0.19</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0.23</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0.29</w:t>
            </w:r>
          </w:p>
        </w:tc>
        <w:tc>
          <w:tcPr>
            <w:tcW w:w="62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0.30%</w:t>
            </w:r>
          </w:p>
        </w:tc>
      </w:tr>
      <w:tr w:rsidR="005473CE" w:rsidRPr="008F00C9" w:rsidTr="001C6EA2">
        <w:trPr>
          <w:trHeight w:val="300"/>
        </w:trPr>
        <w:tc>
          <w:tcPr>
            <w:tcW w:w="1794" w:type="pct"/>
            <w:tcBorders>
              <w:top w:val="nil"/>
              <w:left w:val="single" w:sz="4" w:space="0" w:color="auto"/>
              <w:bottom w:val="single" w:sz="4" w:space="0" w:color="auto"/>
              <w:right w:val="single" w:sz="4" w:space="0" w:color="auto"/>
            </w:tcBorders>
            <w:shd w:val="clear" w:color="auto" w:fill="auto"/>
            <w:noWrap/>
            <w:vAlign w:val="bottom"/>
            <w:hideMark/>
          </w:tcPr>
          <w:p w:rsidR="005473CE" w:rsidRPr="008F00C9" w:rsidRDefault="00CD7972" w:rsidP="0019180E">
            <w:pPr>
              <w:spacing w:after="0" w:line="240" w:lineRule="auto"/>
              <w:jc w:val="right"/>
              <w:rPr>
                <w:rFonts w:ascii="Times New Roman" w:eastAsia="Times New Roman" w:hAnsi="Times New Roman" w:cs="Times New Roman"/>
                <w:color w:val="000000"/>
                <w:sz w:val="12"/>
                <w:szCs w:val="18"/>
              </w:rPr>
            </w:pPr>
            <w:r>
              <w:rPr>
                <w:rFonts w:ascii="Times New Roman" w:eastAsia="Times New Roman" w:hAnsi="Times New Roman" w:cs="Times New Roman"/>
                <w:color w:val="000000"/>
                <w:sz w:val="12"/>
                <w:szCs w:val="18"/>
              </w:rPr>
              <w:t>Fore</w:t>
            </w:r>
            <w:r w:rsidR="001C6EA2" w:rsidRPr="008F00C9">
              <w:rPr>
                <w:rFonts w:ascii="Times New Roman" w:eastAsia="Times New Roman" w:hAnsi="Times New Roman" w:cs="Times New Roman"/>
                <w:color w:val="000000"/>
                <w:sz w:val="12"/>
                <w:szCs w:val="18"/>
              </w:rPr>
              <w:t>i</w:t>
            </w:r>
            <w:r>
              <w:rPr>
                <w:rFonts w:ascii="Times New Roman" w:eastAsia="Times New Roman" w:hAnsi="Times New Roman" w:cs="Times New Roman"/>
                <w:color w:val="000000"/>
                <w:sz w:val="12"/>
                <w:szCs w:val="18"/>
              </w:rPr>
              <w:t>g</w:t>
            </w:r>
            <w:r w:rsidR="001C6EA2" w:rsidRPr="008F00C9">
              <w:rPr>
                <w:rFonts w:ascii="Times New Roman" w:eastAsia="Times New Roman" w:hAnsi="Times New Roman" w:cs="Times New Roman"/>
                <w:color w:val="000000"/>
                <w:sz w:val="12"/>
                <w:szCs w:val="18"/>
              </w:rPr>
              <w:t xml:space="preserve">n investment funds </w:t>
            </w:r>
            <w:r w:rsidR="005473CE" w:rsidRPr="008F00C9">
              <w:rPr>
                <w:rFonts w:ascii="Times New Roman" w:eastAsia="Times New Roman" w:hAnsi="Times New Roman" w:cs="Times New Roman"/>
                <w:color w:val="000000"/>
                <w:sz w:val="12"/>
                <w:szCs w:val="18"/>
              </w:rPr>
              <w:t xml:space="preserve">FMS </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na</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na</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na</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na</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na</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na</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0.43</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0.57</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0.62</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0.76</w:t>
            </w:r>
          </w:p>
        </w:tc>
        <w:tc>
          <w:tcPr>
            <w:tcW w:w="62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0.59%</w:t>
            </w:r>
          </w:p>
        </w:tc>
      </w:tr>
      <w:tr w:rsidR="005473CE" w:rsidRPr="008F00C9" w:rsidTr="001C6EA2">
        <w:trPr>
          <w:trHeight w:val="300"/>
        </w:trPr>
        <w:tc>
          <w:tcPr>
            <w:tcW w:w="1794" w:type="pct"/>
            <w:tcBorders>
              <w:top w:val="nil"/>
              <w:left w:val="single" w:sz="4" w:space="0" w:color="auto"/>
              <w:bottom w:val="single" w:sz="4" w:space="0" w:color="auto"/>
              <w:right w:val="single" w:sz="4" w:space="0" w:color="auto"/>
            </w:tcBorders>
            <w:shd w:val="clear" w:color="auto" w:fill="auto"/>
            <w:noWrap/>
            <w:vAlign w:val="bottom"/>
            <w:hideMark/>
          </w:tcPr>
          <w:p w:rsidR="005473CE" w:rsidRPr="008F00C9" w:rsidRDefault="005473CE" w:rsidP="001C6EA2">
            <w:pPr>
              <w:spacing w:after="0" w:line="240" w:lineRule="auto"/>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 xml:space="preserve">% OPC in </w:t>
            </w:r>
            <w:r w:rsidR="001C6EA2" w:rsidRPr="008F00C9">
              <w:rPr>
                <w:rFonts w:ascii="Times New Roman" w:eastAsia="Times New Roman" w:hAnsi="Times New Roman" w:cs="Times New Roman"/>
                <w:color w:val="000000"/>
                <w:sz w:val="12"/>
                <w:szCs w:val="18"/>
              </w:rPr>
              <w:t>national public debt</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65.04</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54.00</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34.48</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3.67</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5.71</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6.93</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7.09</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8.43</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13.58</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14.97</w:t>
            </w:r>
          </w:p>
        </w:tc>
        <w:tc>
          <w:tcPr>
            <w:tcW w:w="62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21.39%</w:t>
            </w:r>
          </w:p>
        </w:tc>
      </w:tr>
      <w:tr w:rsidR="005473CE" w:rsidRPr="008F00C9" w:rsidTr="001C6EA2">
        <w:trPr>
          <w:trHeight w:val="300"/>
        </w:trPr>
        <w:tc>
          <w:tcPr>
            <w:tcW w:w="1794" w:type="pct"/>
            <w:tcBorders>
              <w:top w:val="nil"/>
              <w:left w:val="single" w:sz="4" w:space="0" w:color="auto"/>
              <w:bottom w:val="single" w:sz="4" w:space="0" w:color="auto"/>
              <w:right w:val="single" w:sz="4" w:space="0" w:color="auto"/>
            </w:tcBorders>
            <w:shd w:val="clear" w:color="auto" w:fill="auto"/>
            <w:noWrap/>
            <w:vAlign w:val="bottom"/>
            <w:hideMark/>
          </w:tcPr>
          <w:p w:rsidR="005473CE" w:rsidRPr="008F00C9" w:rsidRDefault="001C6EA2"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Mutual funds OPCVM</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50.49</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41.04</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28.95</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3.38</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5.49</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6.71</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6.91</w:t>
            </w:r>
          </w:p>
        </w:tc>
        <w:tc>
          <w:tcPr>
            <w:tcW w:w="25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8.05</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13.06</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14.37</w:t>
            </w:r>
          </w:p>
        </w:tc>
        <w:tc>
          <w:tcPr>
            <w:tcW w:w="620" w:type="pct"/>
            <w:tcBorders>
              <w:top w:val="nil"/>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17.85%</w:t>
            </w:r>
          </w:p>
        </w:tc>
      </w:tr>
      <w:tr w:rsidR="005473CE" w:rsidRPr="008F00C9" w:rsidTr="001C6EA2">
        <w:trPr>
          <w:trHeight w:val="300"/>
        </w:trPr>
        <w:tc>
          <w:tcPr>
            <w:tcW w:w="17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3CE" w:rsidRPr="008F00C9" w:rsidRDefault="001C6EA2"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Close-end funds AOPC</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14.56</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12.96</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5.54</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0.29</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0.23</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0.22</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0.18</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0.38</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0.51</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0.60</w:t>
            </w:r>
          </w:p>
        </w:tc>
        <w:tc>
          <w:tcPr>
            <w:tcW w:w="620"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3.55%</w:t>
            </w:r>
          </w:p>
        </w:tc>
      </w:tr>
      <w:tr w:rsidR="005473CE" w:rsidRPr="008F00C9" w:rsidTr="001C6EA2">
        <w:trPr>
          <w:trHeight w:val="300"/>
        </w:trPr>
        <w:tc>
          <w:tcPr>
            <w:tcW w:w="17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3CE" w:rsidRPr="008F00C9" w:rsidRDefault="00CD7972" w:rsidP="0019180E">
            <w:pPr>
              <w:spacing w:after="0" w:line="240" w:lineRule="auto"/>
              <w:jc w:val="right"/>
              <w:rPr>
                <w:rFonts w:ascii="Times New Roman" w:eastAsia="Times New Roman" w:hAnsi="Times New Roman" w:cs="Times New Roman"/>
                <w:color w:val="000000"/>
                <w:sz w:val="12"/>
                <w:szCs w:val="18"/>
              </w:rPr>
            </w:pPr>
            <w:r>
              <w:rPr>
                <w:rFonts w:ascii="Times New Roman" w:eastAsia="Times New Roman" w:hAnsi="Times New Roman" w:cs="Times New Roman"/>
                <w:color w:val="000000"/>
                <w:sz w:val="12"/>
                <w:szCs w:val="18"/>
              </w:rPr>
              <w:t>Fore</w:t>
            </w:r>
            <w:r w:rsidR="001C6EA2" w:rsidRPr="008F00C9">
              <w:rPr>
                <w:rFonts w:ascii="Times New Roman" w:eastAsia="Times New Roman" w:hAnsi="Times New Roman" w:cs="Times New Roman"/>
                <w:color w:val="000000"/>
                <w:sz w:val="12"/>
                <w:szCs w:val="18"/>
              </w:rPr>
              <w:t>i</w:t>
            </w:r>
            <w:r>
              <w:rPr>
                <w:rFonts w:ascii="Times New Roman" w:eastAsia="Times New Roman" w:hAnsi="Times New Roman" w:cs="Times New Roman"/>
                <w:color w:val="000000"/>
                <w:sz w:val="12"/>
                <w:szCs w:val="18"/>
              </w:rPr>
              <w:t>g</w:t>
            </w:r>
            <w:r w:rsidR="001C6EA2" w:rsidRPr="008F00C9">
              <w:rPr>
                <w:rFonts w:ascii="Times New Roman" w:eastAsia="Times New Roman" w:hAnsi="Times New Roman" w:cs="Times New Roman"/>
                <w:color w:val="000000"/>
                <w:sz w:val="12"/>
                <w:szCs w:val="18"/>
              </w:rPr>
              <w:t xml:space="preserve">n investment funds </w:t>
            </w:r>
            <w:r w:rsidR="005473CE" w:rsidRPr="008F00C9">
              <w:rPr>
                <w:rFonts w:ascii="Times New Roman" w:eastAsia="Times New Roman" w:hAnsi="Times New Roman" w:cs="Times New Roman"/>
                <w:color w:val="000000"/>
                <w:sz w:val="12"/>
                <w:szCs w:val="18"/>
              </w:rPr>
              <w:t xml:space="preserve">FMS </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na</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na</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na</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na</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na</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na</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0.84</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1.16</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1.35</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1.57</w:t>
            </w:r>
          </w:p>
        </w:tc>
        <w:tc>
          <w:tcPr>
            <w:tcW w:w="620" w:type="pct"/>
            <w:tcBorders>
              <w:top w:val="single" w:sz="4" w:space="0" w:color="auto"/>
              <w:left w:val="nil"/>
              <w:bottom w:val="single" w:sz="4" w:space="0" w:color="auto"/>
              <w:right w:val="single" w:sz="4" w:space="0" w:color="auto"/>
            </w:tcBorders>
            <w:shd w:val="clear" w:color="auto" w:fill="auto"/>
            <w:noWrap/>
            <w:vAlign w:val="bottom"/>
            <w:hideMark/>
          </w:tcPr>
          <w:p w:rsidR="005473CE" w:rsidRPr="008F00C9" w:rsidRDefault="005473CE" w:rsidP="0019180E">
            <w:pPr>
              <w:spacing w:after="0" w:line="240" w:lineRule="auto"/>
              <w:jc w:val="right"/>
              <w:rPr>
                <w:rFonts w:ascii="Times New Roman" w:eastAsia="Times New Roman" w:hAnsi="Times New Roman" w:cs="Times New Roman"/>
                <w:color w:val="000000"/>
                <w:sz w:val="12"/>
                <w:szCs w:val="18"/>
              </w:rPr>
            </w:pPr>
            <w:r w:rsidRPr="008F00C9">
              <w:rPr>
                <w:rFonts w:ascii="Times New Roman" w:eastAsia="Times New Roman" w:hAnsi="Times New Roman" w:cs="Times New Roman"/>
                <w:color w:val="000000"/>
                <w:sz w:val="12"/>
                <w:szCs w:val="18"/>
              </w:rPr>
              <w:t>1.23%</w:t>
            </w:r>
          </w:p>
        </w:tc>
      </w:tr>
    </w:tbl>
    <w:p w:rsidR="005473CE" w:rsidRPr="008F00C9" w:rsidRDefault="004C614C" w:rsidP="005473CE">
      <w:pPr>
        <w:spacing w:after="120" w:line="360" w:lineRule="auto"/>
        <w:jc w:val="center"/>
        <w:rPr>
          <w:rFonts w:ascii="Times New Roman" w:hAnsi="Times New Roman" w:cs="Times New Roman"/>
          <w:sz w:val="20"/>
          <w:szCs w:val="20"/>
        </w:rPr>
      </w:pPr>
      <w:r w:rsidRPr="008F00C9">
        <w:rPr>
          <w:rFonts w:ascii="Times New Roman" w:hAnsi="Times New Roman" w:cs="Times New Roman"/>
          <w:sz w:val="20"/>
          <w:szCs w:val="20"/>
        </w:rPr>
        <w:t>Source</w:t>
      </w:r>
      <w:r w:rsidR="005473CE" w:rsidRPr="008F00C9">
        <w:rPr>
          <w:rFonts w:ascii="Times New Roman" w:hAnsi="Times New Roman" w:cs="Times New Roman"/>
          <w:sz w:val="20"/>
          <w:szCs w:val="20"/>
        </w:rPr>
        <w:t xml:space="preserve">: </w:t>
      </w:r>
      <w:r w:rsidRPr="008F00C9">
        <w:rPr>
          <w:rFonts w:ascii="Times New Roman" w:hAnsi="Times New Roman" w:cs="Times New Roman"/>
          <w:sz w:val="20"/>
          <w:szCs w:val="20"/>
        </w:rPr>
        <w:t>author’s own calculation using Finance Ministry data over Public Debt</w:t>
      </w:r>
      <w:r w:rsidR="005473CE" w:rsidRPr="008F00C9">
        <w:rPr>
          <w:rFonts w:ascii="Times New Roman" w:hAnsi="Times New Roman" w:cs="Times New Roman"/>
          <w:sz w:val="20"/>
          <w:szCs w:val="20"/>
        </w:rPr>
        <w:t xml:space="preserve"> </w:t>
      </w:r>
      <w:r w:rsidRPr="008F00C9">
        <w:rPr>
          <w:rFonts w:ascii="Times New Roman" w:hAnsi="Times New Roman" w:cs="Times New Roman"/>
          <w:sz w:val="20"/>
          <w:szCs w:val="20"/>
        </w:rPr>
        <w:t>status</w:t>
      </w:r>
    </w:p>
    <w:p w:rsidR="007B6619" w:rsidRPr="007B6619" w:rsidRDefault="007B6619" w:rsidP="007B661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The increasing significance of managed investments in the local economy results to</w:t>
      </w:r>
      <w:r>
        <w:rPr>
          <w:rFonts w:ascii="inherit" w:hAnsi="inherit"/>
          <w:color w:val="212121"/>
        </w:rPr>
        <w:t xml:space="preserve"> </w:t>
      </w:r>
      <w:r w:rsidRPr="007B6619">
        <w:rPr>
          <w:rFonts w:ascii="Times New Roman" w:hAnsi="Times New Roman" w:cs="Times New Roman"/>
          <w:sz w:val="24"/>
          <w:szCs w:val="24"/>
        </w:rPr>
        <w:t>the fact that</w:t>
      </w:r>
      <w:r>
        <w:rPr>
          <w:rFonts w:ascii="inherit" w:hAnsi="inherit"/>
          <w:color w:val="212121"/>
        </w:rPr>
        <w:t xml:space="preserve"> </w:t>
      </w:r>
      <w:r w:rsidRPr="007B6619">
        <w:rPr>
          <w:rFonts w:ascii="Times New Roman" w:hAnsi="Times New Roman" w:cs="Times New Roman"/>
          <w:sz w:val="24"/>
          <w:szCs w:val="24"/>
        </w:rPr>
        <w:t>t</w:t>
      </w:r>
      <w:r>
        <w:rPr>
          <w:rFonts w:ascii="Times New Roman" w:hAnsi="Times New Roman" w:cs="Times New Roman"/>
          <w:sz w:val="24"/>
          <w:szCs w:val="24"/>
        </w:rPr>
        <w:t xml:space="preserve">hey were able to fund around 15% of domestic public debt (2014), </w:t>
      </w:r>
      <w:r w:rsidRPr="007B6619">
        <w:rPr>
          <w:rFonts w:ascii="Times New Roman" w:hAnsi="Times New Roman" w:cs="Times New Roman"/>
          <w:sz w:val="24"/>
          <w:szCs w:val="24"/>
        </w:rPr>
        <w:t>being an important and stable source of covering the government budget de</w:t>
      </w:r>
      <w:r>
        <w:rPr>
          <w:rFonts w:ascii="Times New Roman" w:hAnsi="Times New Roman" w:cs="Times New Roman"/>
          <w:sz w:val="24"/>
          <w:szCs w:val="24"/>
        </w:rPr>
        <w:t xml:space="preserve">ficit (Annual Report ASF, 2013), as it is </w:t>
      </w:r>
      <w:r w:rsidRPr="007B6619">
        <w:rPr>
          <w:rFonts w:ascii="Times New Roman" w:hAnsi="Times New Roman" w:cs="Times New Roman"/>
          <w:sz w:val="24"/>
          <w:szCs w:val="24"/>
        </w:rPr>
        <w:t>holding a significant share in the investment portfolios of government securities and municipal bonds .</w:t>
      </w:r>
    </w:p>
    <w:p w:rsidR="007B6619" w:rsidRPr="007B6619" w:rsidRDefault="007B6619" w:rsidP="007B6619">
      <w:pPr>
        <w:spacing w:after="120" w:line="240" w:lineRule="auto"/>
        <w:jc w:val="both"/>
        <w:rPr>
          <w:rFonts w:ascii="Times New Roman" w:hAnsi="Times New Roman" w:cs="Times New Roman"/>
          <w:spacing w:val="-6"/>
          <w:sz w:val="24"/>
          <w:szCs w:val="24"/>
        </w:rPr>
      </w:pPr>
      <w:r w:rsidRPr="007B6619">
        <w:rPr>
          <w:rFonts w:ascii="Times New Roman" w:hAnsi="Times New Roman" w:cs="Times New Roman"/>
          <w:spacing w:val="-6"/>
          <w:sz w:val="24"/>
          <w:szCs w:val="24"/>
        </w:rPr>
        <w:t>Collective investment schemes have become sponsors of debt by the fact that</w:t>
      </w:r>
      <w:r>
        <w:rPr>
          <w:rFonts w:ascii="Times New Roman" w:hAnsi="Times New Roman" w:cs="Times New Roman"/>
          <w:spacing w:val="-6"/>
          <w:sz w:val="24"/>
          <w:szCs w:val="24"/>
        </w:rPr>
        <w:t xml:space="preserve"> they have a significant part (about 80%</w:t>
      </w:r>
      <w:r w:rsidRPr="007B6619">
        <w:rPr>
          <w:rFonts w:ascii="Times New Roman" w:hAnsi="Times New Roman" w:cs="Times New Roman"/>
          <w:spacing w:val="-6"/>
          <w:sz w:val="24"/>
          <w:szCs w:val="24"/>
        </w:rPr>
        <w:t xml:space="preserve">) of their portfolios </w:t>
      </w:r>
      <w:r>
        <w:rPr>
          <w:rFonts w:ascii="Times New Roman" w:hAnsi="Times New Roman" w:cs="Times New Roman"/>
          <w:spacing w:val="-6"/>
          <w:sz w:val="24"/>
          <w:szCs w:val="24"/>
        </w:rPr>
        <w:t xml:space="preserve">placed </w:t>
      </w:r>
      <w:r w:rsidRPr="007B6619">
        <w:rPr>
          <w:rFonts w:ascii="Times New Roman" w:hAnsi="Times New Roman" w:cs="Times New Roman"/>
          <w:spacing w:val="-6"/>
          <w:sz w:val="24"/>
          <w:szCs w:val="24"/>
        </w:rPr>
        <w:t xml:space="preserve">in </w:t>
      </w:r>
      <w:r>
        <w:rPr>
          <w:rFonts w:ascii="Times New Roman" w:hAnsi="Times New Roman" w:cs="Times New Roman"/>
          <w:spacing w:val="-6"/>
          <w:sz w:val="24"/>
          <w:szCs w:val="24"/>
        </w:rPr>
        <w:t xml:space="preserve">medium and short state </w:t>
      </w:r>
      <w:r w:rsidRPr="007B6619">
        <w:rPr>
          <w:rFonts w:ascii="Times New Roman" w:hAnsi="Times New Roman" w:cs="Times New Roman"/>
          <w:spacing w:val="-6"/>
          <w:sz w:val="24"/>
          <w:szCs w:val="24"/>
        </w:rPr>
        <w:t xml:space="preserve">investments instruments </w:t>
      </w:r>
      <w:r>
        <w:rPr>
          <w:rFonts w:ascii="Times New Roman" w:hAnsi="Times New Roman" w:cs="Times New Roman"/>
          <w:spacing w:val="-6"/>
          <w:sz w:val="24"/>
          <w:szCs w:val="24"/>
        </w:rPr>
        <w:t>–</w:t>
      </w:r>
      <w:r w:rsidRPr="007B6619">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i.e. </w:t>
      </w:r>
      <w:r w:rsidRPr="007B6619">
        <w:rPr>
          <w:rFonts w:ascii="Times New Roman" w:hAnsi="Times New Roman" w:cs="Times New Roman"/>
          <w:spacing w:val="-6"/>
          <w:sz w:val="24"/>
          <w:szCs w:val="24"/>
        </w:rPr>
        <w:t>g</w:t>
      </w:r>
      <w:r>
        <w:rPr>
          <w:rFonts w:ascii="Times New Roman" w:hAnsi="Times New Roman" w:cs="Times New Roman"/>
          <w:spacing w:val="-6"/>
          <w:sz w:val="24"/>
          <w:szCs w:val="24"/>
        </w:rPr>
        <w:t>overnment bonds, treasury bills</w:t>
      </w:r>
      <w:r w:rsidRPr="007B6619">
        <w:rPr>
          <w:rFonts w:ascii="Times New Roman" w:hAnsi="Times New Roman" w:cs="Times New Roman"/>
          <w:spacing w:val="-6"/>
          <w:sz w:val="24"/>
          <w:szCs w:val="24"/>
        </w:rPr>
        <w:t>, bank deposits, cert</w:t>
      </w:r>
      <w:r>
        <w:rPr>
          <w:rFonts w:ascii="Times New Roman" w:hAnsi="Times New Roman" w:cs="Times New Roman"/>
          <w:spacing w:val="-6"/>
          <w:sz w:val="24"/>
          <w:szCs w:val="24"/>
        </w:rPr>
        <w:t>ificates of deposit and bonds (Radu 2009b)</w:t>
      </w:r>
      <w:r w:rsidRPr="007B6619">
        <w:rPr>
          <w:rFonts w:ascii="Times New Roman" w:hAnsi="Times New Roman" w:cs="Times New Roman"/>
          <w:spacing w:val="-6"/>
          <w:sz w:val="24"/>
          <w:szCs w:val="24"/>
        </w:rPr>
        <w:t xml:space="preserve">, </w:t>
      </w:r>
      <w:r>
        <w:rPr>
          <w:rFonts w:ascii="Times New Roman" w:hAnsi="Times New Roman" w:cs="Times New Roman"/>
          <w:spacing w:val="-6"/>
          <w:sz w:val="24"/>
          <w:szCs w:val="24"/>
        </w:rPr>
        <w:t>rather than</w:t>
      </w:r>
      <w:r w:rsidRPr="007B6619">
        <w:rPr>
          <w:rFonts w:ascii="Times New Roman" w:hAnsi="Times New Roman" w:cs="Times New Roman"/>
          <w:spacing w:val="-6"/>
          <w:sz w:val="24"/>
          <w:szCs w:val="24"/>
        </w:rPr>
        <w:t xml:space="preserve"> other investments.</w:t>
      </w:r>
    </w:p>
    <w:p w:rsidR="00D6455A" w:rsidRDefault="00D6455A" w:rsidP="00D6455A">
      <w:pPr>
        <w:pStyle w:val="Caption"/>
        <w:spacing w:before="0" w:beforeAutospacing="0" w:after="120" w:afterAutospacing="0"/>
        <w:jc w:val="both"/>
        <w:rPr>
          <w:spacing w:val="-2"/>
        </w:rPr>
      </w:pPr>
      <w:r w:rsidRPr="00D6455A">
        <w:rPr>
          <w:spacing w:val="-2"/>
        </w:rPr>
        <w:t>Investment funds have become important players in t</w:t>
      </w:r>
      <w:r>
        <w:rPr>
          <w:spacing w:val="-2"/>
        </w:rPr>
        <w:t xml:space="preserve">he management of public debt (Călugăru &amp; Cistelecan, </w:t>
      </w:r>
      <w:r w:rsidRPr="00D6455A">
        <w:rPr>
          <w:spacing w:val="-2"/>
        </w:rPr>
        <w:t xml:space="preserve">2007) and hence </w:t>
      </w:r>
      <w:r>
        <w:rPr>
          <w:spacing w:val="-2"/>
        </w:rPr>
        <w:t xml:space="preserve">within the </w:t>
      </w:r>
      <w:r w:rsidRPr="00D6455A">
        <w:rPr>
          <w:spacing w:val="-2"/>
        </w:rPr>
        <w:t>restriction of fin</w:t>
      </w:r>
      <w:r>
        <w:rPr>
          <w:spacing w:val="-2"/>
        </w:rPr>
        <w:t>ancing public debt (Radu 2012)</w:t>
      </w:r>
      <w:r w:rsidRPr="00D6455A">
        <w:rPr>
          <w:spacing w:val="-2"/>
        </w:rPr>
        <w:t>, as long as real aspects show that the number of iss</w:t>
      </w:r>
      <w:r>
        <w:rPr>
          <w:spacing w:val="-2"/>
        </w:rPr>
        <w:t>uances of government securities</w:t>
      </w:r>
      <w:r w:rsidRPr="00D6455A">
        <w:rPr>
          <w:spacing w:val="-2"/>
        </w:rPr>
        <w:t xml:space="preserve">, certificates of treasury and municipal bonds it is significantly limited compared to the interest </w:t>
      </w:r>
      <w:r>
        <w:rPr>
          <w:spacing w:val="-2"/>
        </w:rPr>
        <w:t>of these investment vehicles</w:t>
      </w:r>
      <w:r w:rsidRPr="00D6455A">
        <w:rPr>
          <w:spacing w:val="-2"/>
        </w:rPr>
        <w:t xml:space="preserve">. The evolution of total assets managed by investment vehicles </w:t>
      </w:r>
      <w:r>
        <w:rPr>
          <w:spacing w:val="-2"/>
        </w:rPr>
        <w:t>compared</w:t>
      </w:r>
      <w:r w:rsidRPr="00D6455A">
        <w:rPr>
          <w:spacing w:val="-2"/>
        </w:rPr>
        <w:t xml:space="preserve"> to the size of </w:t>
      </w:r>
      <w:r>
        <w:rPr>
          <w:spacing w:val="-2"/>
        </w:rPr>
        <w:t xml:space="preserve">the national economy shows that, the </w:t>
      </w:r>
      <w:r w:rsidRPr="00D6455A">
        <w:rPr>
          <w:spacing w:val="-2"/>
        </w:rPr>
        <w:t>collective investment undertakings</w:t>
      </w:r>
      <w:r>
        <w:rPr>
          <w:spacing w:val="-2"/>
        </w:rPr>
        <w:t xml:space="preserve"> </w:t>
      </w:r>
      <w:r w:rsidRPr="00D6455A">
        <w:rPr>
          <w:spacing w:val="-2"/>
        </w:rPr>
        <w:t>significantly increased</w:t>
      </w:r>
      <w:r>
        <w:rPr>
          <w:spacing w:val="-2"/>
        </w:rPr>
        <w:t xml:space="preserve"> </w:t>
      </w:r>
      <w:r w:rsidRPr="00D6455A">
        <w:rPr>
          <w:spacing w:val="-2"/>
        </w:rPr>
        <w:t>from 2.24 % to 5.70 %</w:t>
      </w:r>
      <w:r>
        <w:rPr>
          <w:spacing w:val="-2"/>
        </w:rPr>
        <w:t xml:space="preserve"> (</w:t>
      </w:r>
      <w:r w:rsidRPr="00D6455A">
        <w:rPr>
          <w:spacing w:val="-2"/>
        </w:rPr>
        <w:t>marking a increase of about 3 times in the range 2009-2013</w:t>
      </w:r>
      <w:r>
        <w:rPr>
          <w:spacing w:val="-2"/>
        </w:rPr>
        <w:t xml:space="preserve">), while </w:t>
      </w:r>
      <w:r w:rsidRPr="00D6455A">
        <w:rPr>
          <w:spacing w:val="-2"/>
        </w:rPr>
        <w:t>the insurance sector stagna</w:t>
      </w:r>
      <w:r>
        <w:rPr>
          <w:spacing w:val="-2"/>
        </w:rPr>
        <w:t>ted.</w:t>
      </w:r>
    </w:p>
    <w:p w:rsidR="00C24678" w:rsidRPr="00D6455A" w:rsidRDefault="00C24678" w:rsidP="00D6455A">
      <w:pPr>
        <w:pStyle w:val="Caption"/>
        <w:spacing w:before="0" w:beforeAutospacing="0" w:after="120" w:afterAutospacing="0"/>
        <w:jc w:val="both"/>
        <w:rPr>
          <w:spacing w:val="-2"/>
        </w:rPr>
      </w:pPr>
    </w:p>
    <w:p w:rsidR="005473CE" w:rsidRPr="008F00C9" w:rsidRDefault="005473CE" w:rsidP="005473CE">
      <w:pPr>
        <w:pStyle w:val="Caption"/>
        <w:spacing w:before="0" w:beforeAutospacing="0" w:after="0" w:afterAutospacing="0"/>
        <w:jc w:val="center"/>
        <w:rPr>
          <w:b/>
          <w:sz w:val="20"/>
          <w:szCs w:val="20"/>
        </w:rPr>
      </w:pPr>
      <w:bookmarkStart w:id="13" w:name="_Toc449385111"/>
      <w:r w:rsidRPr="008F00C9">
        <w:rPr>
          <w:b/>
          <w:sz w:val="20"/>
          <w:szCs w:val="20"/>
        </w:rPr>
        <w:lastRenderedPageBreak/>
        <w:t xml:space="preserve">Tabel 1. </w:t>
      </w:r>
      <w:r w:rsidR="004B4616" w:rsidRPr="008F00C9">
        <w:rPr>
          <w:b/>
          <w:sz w:val="20"/>
          <w:szCs w:val="20"/>
        </w:rPr>
        <w:fldChar w:fldCharType="begin"/>
      </w:r>
      <w:r w:rsidRPr="008F00C9">
        <w:rPr>
          <w:b/>
          <w:sz w:val="20"/>
          <w:szCs w:val="20"/>
        </w:rPr>
        <w:instrText xml:space="preserve"> SEQ Tabel_1. \* ARABIC </w:instrText>
      </w:r>
      <w:r w:rsidR="004B4616" w:rsidRPr="008F00C9">
        <w:rPr>
          <w:b/>
          <w:sz w:val="20"/>
          <w:szCs w:val="20"/>
        </w:rPr>
        <w:fldChar w:fldCharType="separate"/>
      </w:r>
      <w:r w:rsidR="00695698" w:rsidRPr="008F00C9">
        <w:rPr>
          <w:b/>
          <w:noProof/>
          <w:sz w:val="20"/>
          <w:szCs w:val="20"/>
        </w:rPr>
        <w:t>3</w:t>
      </w:r>
      <w:r w:rsidR="004B4616" w:rsidRPr="008F00C9">
        <w:rPr>
          <w:b/>
          <w:sz w:val="20"/>
          <w:szCs w:val="20"/>
        </w:rPr>
        <w:fldChar w:fldCharType="end"/>
      </w:r>
      <w:r w:rsidRPr="008F00C9">
        <w:rPr>
          <w:b/>
          <w:sz w:val="20"/>
          <w:szCs w:val="20"/>
        </w:rPr>
        <w:t xml:space="preserve"> </w:t>
      </w:r>
      <w:r w:rsidR="004C614C" w:rsidRPr="008F00C9">
        <w:rPr>
          <w:b/>
          <w:sz w:val="20"/>
          <w:szCs w:val="20"/>
        </w:rPr>
        <w:t xml:space="preserve"> Total assets of managed investments as a percentage in GBP </w:t>
      </w:r>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1"/>
        <w:gridCol w:w="766"/>
        <w:gridCol w:w="766"/>
        <w:gridCol w:w="766"/>
        <w:gridCol w:w="766"/>
        <w:gridCol w:w="766"/>
        <w:gridCol w:w="666"/>
      </w:tblGrid>
      <w:tr w:rsidR="005473CE" w:rsidRPr="008F00C9" w:rsidTr="0019180E">
        <w:trPr>
          <w:jc w:val="center"/>
        </w:trPr>
        <w:tc>
          <w:tcPr>
            <w:tcW w:w="0" w:type="auto"/>
          </w:tcPr>
          <w:p w:rsidR="005473CE" w:rsidRPr="008F00C9" w:rsidRDefault="00D6455A" w:rsidP="00D6455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Categories of managed investment vehicles</w:t>
            </w:r>
          </w:p>
        </w:tc>
        <w:tc>
          <w:tcPr>
            <w:tcW w:w="0" w:type="auto"/>
          </w:tcPr>
          <w:p w:rsidR="005473CE" w:rsidRPr="008F00C9" w:rsidRDefault="005473CE" w:rsidP="0019180E">
            <w:pPr>
              <w:spacing w:after="0" w:line="240" w:lineRule="auto"/>
              <w:jc w:val="both"/>
              <w:rPr>
                <w:rFonts w:ascii="Times New Roman" w:hAnsi="Times New Roman" w:cs="Times New Roman"/>
                <w:b/>
                <w:sz w:val="20"/>
                <w:szCs w:val="20"/>
              </w:rPr>
            </w:pPr>
            <w:r w:rsidRPr="008F00C9">
              <w:rPr>
                <w:rFonts w:ascii="Times New Roman" w:hAnsi="Times New Roman" w:cs="Times New Roman"/>
                <w:b/>
                <w:sz w:val="20"/>
                <w:szCs w:val="20"/>
              </w:rPr>
              <w:t>2009</w:t>
            </w:r>
          </w:p>
        </w:tc>
        <w:tc>
          <w:tcPr>
            <w:tcW w:w="0" w:type="auto"/>
          </w:tcPr>
          <w:p w:rsidR="005473CE" w:rsidRPr="008F00C9" w:rsidRDefault="005473CE" w:rsidP="0019180E">
            <w:pPr>
              <w:spacing w:after="0" w:line="240" w:lineRule="auto"/>
              <w:jc w:val="both"/>
              <w:rPr>
                <w:rFonts w:ascii="Times New Roman" w:hAnsi="Times New Roman" w:cs="Times New Roman"/>
                <w:b/>
                <w:sz w:val="20"/>
                <w:szCs w:val="20"/>
              </w:rPr>
            </w:pPr>
            <w:r w:rsidRPr="008F00C9">
              <w:rPr>
                <w:rFonts w:ascii="Times New Roman" w:hAnsi="Times New Roman" w:cs="Times New Roman"/>
                <w:b/>
                <w:sz w:val="20"/>
                <w:szCs w:val="20"/>
              </w:rPr>
              <w:t>2010</w:t>
            </w:r>
          </w:p>
        </w:tc>
        <w:tc>
          <w:tcPr>
            <w:tcW w:w="0" w:type="auto"/>
          </w:tcPr>
          <w:p w:rsidR="005473CE" w:rsidRPr="008F00C9" w:rsidRDefault="005473CE" w:rsidP="0019180E">
            <w:pPr>
              <w:spacing w:after="0" w:line="240" w:lineRule="auto"/>
              <w:jc w:val="both"/>
              <w:rPr>
                <w:rFonts w:ascii="Times New Roman" w:hAnsi="Times New Roman" w:cs="Times New Roman"/>
                <w:b/>
                <w:sz w:val="20"/>
                <w:szCs w:val="20"/>
              </w:rPr>
            </w:pPr>
            <w:r w:rsidRPr="008F00C9">
              <w:rPr>
                <w:rFonts w:ascii="Times New Roman" w:hAnsi="Times New Roman" w:cs="Times New Roman"/>
                <w:b/>
                <w:sz w:val="20"/>
                <w:szCs w:val="20"/>
              </w:rPr>
              <w:t>2011</w:t>
            </w:r>
          </w:p>
        </w:tc>
        <w:tc>
          <w:tcPr>
            <w:tcW w:w="0" w:type="auto"/>
          </w:tcPr>
          <w:p w:rsidR="005473CE" w:rsidRPr="008F00C9" w:rsidRDefault="005473CE" w:rsidP="0019180E">
            <w:pPr>
              <w:spacing w:after="0" w:line="240" w:lineRule="auto"/>
              <w:jc w:val="both"/>
              <w:rPr>
                <w:rFonts w:ascii="Times New Roman" w:hAnsi="Times New Roman" w:cs="Times New Roman"/>
                <w:b/>
                <w:sz w:val="20"/>
                <w:szCs w:val="20"/>
              </w:rPr>
            </w:pPr>
            <w:r w:rsidRPr="008F00C9">
              <w:rPr>
                <w:rFonts w:ascii="Times New Roman" w:hAnsi="Times New Roman" w:cs="Times New Roman"/>
                <w:b/>
                <w:sz w:val="20"/>
                <w:szCs w:val="20"/>
              </w:rPr>
              <w:t>2012</w:t>
            </w:r>
          </w:p>
        </w:tc>
        <w:tc>
          <w:tcPr>
            <w:tcW w:w="0" w:type="auto"/>
          </w:tcPr>
          <w:p w:rsidR="005473CE" w:rsidRPr="008F00C9" w:rsidRDefault="005473CE" w:rsidP="0019180E">
            <w:pPr>
              <w:spacing w:after="0" w:line="240" w:lineRule="auto"/>
              <w:jc w:val="both"/>
              <w:rPr>
                <w:rFonts w:ascii="Times New Roman" w:hAnsi="Times New Roman" w:cs="Times New Roman"/>
                <w:b/>
                <w:sz w:val="20"/>
                <w:szCs w:val="20"/>
              </w:rPr>
            </w:pPr>
            <w:r w:rsidRPr="008F00C9">
              <w:rPr>
                <w:rFonts w:ascii="Times New Roman" w:hAnsi="Times New Roman" w:cs="Times New Roman"/>
                <w:b/>
                <w:sz w:val="20"/>
                <w:szCs w:val="20"/>
              </w:rPr>
              <w:t>2013</w:t>
            </w:r>
          </w:p>
        </w:tc>
        <w:tc>
          <w:tcPr>
            <w:tcW w:w="0" w:type="auto"/>
          </w:tcPr>
          <w:p w:rsidR="005473CE" w:rsidRPr="008F00C9" w:rsidRDefault="005473CE" w:rsidP="0019180E">
            <w:pPr>
              <w:spacing w:after="0" w:line="240" w:lineRule="auto"/>
              <w:jc w:val="both"/>
              <w:rPr>
                <w:rFonts w:ascii="Times New Roman" w:hAnsi="Times New Roman" w:cs="Times New Roman"/>
                <w:b/>
                <w:sz w:val="20"/>
                <w:szCs w:val="20"/>
              </w:rPr>
            </w:pPr>
            <w:r w:rsidRPr="008F00C9">
              <w:rPr>
                <w:rFonts w:ascii="Times New Roman" w:hAnsi="Times New Roman" w:cs="Times New Roman"/>
                <w:b/>
                <w:sz w:val="20"/>
                <w:szCs w:val="20"/>
              </w:rPr>
              <w:t>2014</w:t>
            </w:r>
          </w:p>
        </w:tc>
      </w:tr>
      <w:tr w:rsidR="005473CE" w:rsidRPr="008F00C9" w:rsidTr="0019180E">
        <w:trPr>
          <w:jc w:val="center"/>
        </w:trPr>
        <w:tc>
          <w:tcPr>
            <w:tcW w:w="0" w:type="auto"/>
          </w:tcPr>
          <w:p w:rsidR="005473CE" w:rsidRPr="008F00C9" w:rsidRDefault="008F00C9" w:rsidP="0019180E">
            <w:pPr>
              <w:spacing w:after="0" w:line="240" w:lineRule="auto"/>
              <w:jc w:val="both"/>
              <w:rPr>
                <w:rFonts w:ascii="Times New Roman" w:hAnsi="Times New Roman" w:cs="Times New Roman"/>
                <w:sz w:val="20"/>
                <w:szCs w:val="20"/>
              </w:rPr>
            </w:pPr>
            <w:r w:rsidRPr="008F00C9">
              <w:rPr>
                <w:rFonts w:ascii="Times New Roman" w:hAnsi="Times New Roman" w:cs="Times New Roman"/>
                <w:sz w:val="20"/>
                <w:szCs w:val="20"/>
              </w:rPr>
              <w:t>Insurance entities</w:t>
            </w:r>
            <w:r w:rsidR="005473CE" w:rsidRPr="008F00C9">
              <w:rPr>
                <w:rFonts w:ascii="Times New Roman" w:hAnsi="Times New Roman" w:cs="Times New Roman"/>
                <w:sz w:val="20"/>
                <w:szCs w:val="20"/>
              </w:rPr>
              <w:t xml:space="preserve"> (SA)</w:t>
            </w:r>
          </w:p>
        </w:tc>
        <w:tc>
          <w:tcPr>
            <w:tcW w:w="0" w:type="auto"/>
          </w:tcPr>
          <w:p w:rsidR="005473CE" w:rsidRPr="008F00C9" w:rsidRDefault="005473CE" w:rsidP="0019180E">
            <w:pPr>
              <w:spacing w:after="0" w:line="240" w:lineRule="auto"/>
              <w:jc w:val="both"/>
              <w:rPr>
                <w:rFonts w:ascii="Times New Roman" w:hAnsi="Times New Roman" w:cs="Times New Roman"/>
                <w:sz w:val="20"/>
                <w:szCs w:val="20"/>
              </w:rPr>
            </w:pPr>
            <w:r w:rsidRPr="008F00C9">
              <w:rPr>
                <w:rFonts w:ascii="Times New Roman" w:hAnsi="Times New Roman" w:cs="Times New Roman"/>
                <w:sz w:val="20"/>
                <w:szCs w:val="20"/>
              </w:rPr>
              <w:t>3.27%</w:t>
            </w:r>
          </w:p>
        </w:tc>
        <w:tc>
          <w:tcPr>
            <w:tcW w:w="0" w:type="auto"/>
          </w:tcPr>
          <w:p w:rsidR="005473CE" w:rsidRPr="008F00C9" w:rsidRDefault="005473CE" w:rsidP="0019180E">
            <w:pPr>
              <w:spacing w:after="0" w:line="240" w:lineRule="auto"/>
              <w:jc w:val="both"/>
              <w:rPr>
                <w:rFonts w:ascii="Times New Roman" w:hAnsi="Times New Roman" w:cs="Times New Roman"/>
                <w:sz w:val="20"/>
                <w:szCs w:val="20"/>
              </w:rPr>
            </w:pPr>
            <w:r w:rsidRPr="008F00C9">
              <w:rPr>
                <w:rFonts w:ascii="Times New Roman" w:hAnsi="Times New Roman" w:cs="Times New Roman"/>
                <w:sz w:val="20"/>
                <w:szCs w:val="20"/>
              </w:rPr>
              <w:t>3.21%</w:t>
            </w:r>
          </w:p>
        </w:tc>
        <w:tc>
          <w:tcPr>
            <w:tcW w:w="0" w:type="auto"/>
          </w:tcPr>
          <w:p w:rsidR="005473CE" w:rsidRPr="008F00C9" w:rsidRDefault="005473CE" w:rsidP="0019180E">
            <w:pPr>
              <w:spacing w:after="0" w:line="240" w:lineRule="auto"/>
              <w:jc w:val="both"/>
              <w:rPr>
                <w:rFonts w:ascii="Times New Roman" w:hAnsi="Times New Roman" w:cs="Times New Roman"/>
                <w:sz w:val="20"/>
                <w:szCs w:val="20"/>
              </w:rPr>
            </w:pPr>
            <w:r w:rsidRPr="008F00C9">
              <w:rPr>
                <w:rFonts w:ascii="Times New Roman" w:hAnsi="Times New Roman" w:cs="Times New Roman"/>
                <w:sz w:val="20"/>
                <w:szCs w:val="20"/>
              </w:rPr>
              <w:t>3.10%</w:t>
            </w:r>
          </w:p>
        </w:tc>
        <w:tc>
          <w:tcPr>
            <w:tcW w:w="0" w:type="auto"/>
          </w:tcPr>
          <w:p w:rsidR="005473CE" w:rsidRPr="008F00C9" w:rsidRDefault="005473CE" w:rsidP="0019180E">
            <w:pPr>
              <w:spacing w:after="0" w:line="240" w:lineRule="auto"/>
              <w:jc w:val="both"/>
              <w:rPr>
                <w:rFonts w:ascii="Times New Roman" w:hAnsi="Times New Roman" w:cs="Times New Roman"/>
                <w:sz w:val="20"/>
                <w:szCs w:val="20"/>
              </w:rPr>
            </w:pPr>
            <w:r w:rsidRPr="008F00C9">
              <w:rPr>
                <w:rFonts w:ascii="Times New Roman" w:hAnsi="Times New Roman" w:cs="Times New Roman"/>
                <w:sz w:val="20"/>
                <w:szCs w:val="20"/>
              </w:rPr>
              <w:t>3.23%</w:t>
            </w:r>
          </w:p>
        </w:tc>
        <w:tc>
          <w:tcPr>
            <w:tcW w:w="0" w:type="auto"/>
          </w:tcPr>
          <w:p w:rsidR="005473CE" w:rsidRPr="008F00C9" w:rsidRDefault="005473CE" w:rsidP="0019180E">
            <w:pPr>
              <w:spacing w:after="0" w:line="240" w:lineRule="auto"/>
              <w:jc w:val="both"/>
              <w:rPr>
                <w:rFonts w:ascii="Times New Roman" w:hAnsi="Times New Roman" w:cs="Times New Roman"/>
                <w:sz w:val="20"/>
                <w:szCs w:val="20"/>
              </w:rPr>
            </w:pPr>
            <w:r w:rsidRPr="008F00C9">
              <w:rPr>
                <w:rFonts w:ascii="Times New Roman" w:hAnsi="Times New Roman" w:cs="Times New Roman"/>
                <w:sz w:val="20"/>
                <w:szCs w:val="20"/>
              </w:rPr>
              <w:t>2.92%</w:t>
            </w:r>
          </w:p>
        </w:tc>
        <w:tc>
          <w:tcPr>
            <w:tcW w:w="0" w:type="auto"/>
          </w:tcPr>
          <w:p w:rsidR="005473CE" w:rsidRPr="008F00C9" w:rsidRDefault="005473CE" w:rsidP="0019180E">
            <w:pPr>
              <w:spacing w:after="0" w:line="240" w:lineRule="auto"/>
              <w:jc w:val="both"/>
              <w:rPr>
                <w:rFonts w:ascii="Times New Roman" w:hAnsi="Times New Roman" w:cs="Times New Roman"/>
                <w:sz w:val="20"/>
                <w:szCs w:val="20"/>
              </w:rPr>
            </w:pPr>
            <w:r w:rsidRPr="008F00C9">
              <w:rPr>
                <w:rFonts w:ascii="Times New Roman" w:hAnsi="Times New Roman" w:cs="Times New Roman"/>
                <w:sz w:val="20"/>
                <w:szCs w:val="20"/>
              </w:rPr>
              <w:t>3.6%</w:t>
            </w:r>
          </w:p>
        </w:tc>
      </w:tr>
      <w:tr w:rsidR="005473CE" w:rsidRPr="008F00C9" w:rsidTr="0019180E">
        <w:trPr>
          <w:jc w:val="center"/>
        </w:trPr>
        <w:tc>
          <w:tcPr>
            <w:tcW w:w="0" w:type="auto"/>
          </w:tcPr>
          <w:p w:rsidR="005473CE" w:rsidRPr="008F00C9" w:rsidRDefault="008F00C9" w:rsidP="001918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Pension funds</w:t>
            </w:r>
            <w:r w:rsidR="005473CE" w:rsidRPr="008F00C9">
              <w:rPr>
                <w:rFonts w:ascii="Times New Roman" w:hAnsi="Times New Roman" w:cs="Times New Roman"/>
                <w:sz w:val="20"/>
                <w:szCs w:val="20"/>
              </w:rPr>
              <w:t xml:space="preserve"> (FP)</w:t>
            </w:r>
          </w:p>
        </w:tc>
        <w:tc>
          <w:tcPr>
            <w:tcW w:w="0" w:type="auto"/>
          </w:tcPr>
          <w:p w:rsidR="005473CE" w:rsidRPr="008F00C9" w:rsidRDefault="005473CE" w:rsidP="0019180E">
            <w:pPr>
              <w:spacing w:after="0" w:line="240" w:lineRule="auto"/>
              <w:jc w:val="both"/>
              <w:rPr>
                <w:rFonts w:ascii="Times New Roman" w:hAnsi="Times New Roman" w:cs="Times New Roman"/>
                <w:sz w:val="20"/>
                <w:szCs w:val="20"/>
              </w:rPr>
            </w:pPr>
            <w:r w:rsidRPr="008F00C9">
              <w:rPr>
                <w:rFonts w:ascii="Times New Roman" w:hAnsi="Times New Roman" w:cs="Times New Roman"/>
                <w:sz w:val="20"/>
                <w:szCs w:val="20"/>
              </w:rPr>
              <w:t>0.52%</w:t>
            </w:r>
          </w:p>
        </w:tc>
        <w:tc>
          <w:tcPr>
            <w:tcW w:w="0" w:type="auto"/>
          </w:tcPr>
          <w:p w:rsidR="005473CE" w:rsidRPr="008F00C9" w:rsidRDefault="005473CE" w:rsidP="0019180E">
            <w:pPr>
              <w:spacing w:after="0" w:line="240" w:lineRule="auto"/>
              <w:jc w:val="both"/>
              <w:rPr>
                <w:rFonts w:ascii="Times New Roman" w:hAnsi="Times New Roman" w:cs="Times New Roman"/>
                <w:sz w:val="20"/>
                <w:szCs w:val="20"/>
              </w:rPr>
            </w:pPr>
            <w:r w:rsidRPr="008F00C9">
              <w:rPr>
                <w:rFonts w:ascii="Times New Roman" w:hAnsi="Times New Roman" w:cs="Times New Roman"/>
                <w:sz w:val="20"/>
                <w:szCs w:val="20"/>
              </w:rPr>
              <w:t>0.89%</w:t>
            </w:r>
          </w:p>
        </w:tc>
        <w:tc>
          <w:tcPr>
            <w:tcW w:w="0" w:type="auto"/>
          </w:tcPr>
          <w:p w:rsidR="005473CE" w:rsidRPr="008F00C9" w:rsidRDefault="005473CE" w:rsidP="0019180E">
            <w:pPr>
              <w:spacing w:after="0" w:line="240" w:lineRule="auto"/>
              <w:jc w:val="both"/>
              <w:rPr>
                <w:rFonts w:ascii="Times New Roman" w:hAnsi="Times New Roman" w:cs="Times New Roman"/>
                <w:sz w:val="20"/>
                <w:szCs w:val="20"/>
              </w:rPr>
            </w:pPr>
            <w:r w:rsidRPr="008F00C9">
              <w:rPr>
                <w:rFonts w:ascii="Times New Roman" w:hAnsi="Times New Roman" w:cs="Times New Roman"/>
                <w:sz w:val="20"/>
                <w:szCs w:val="20"/>
              </w:rPr>
              <w:t>1.23%</w:t>
            </w:r>
          </w:p>
        </w:tc>
        <w:tc>
          <w:tcPr>
            <w:tcW w:w="0" w:type="auto"/>
          </w:tcPr>
          <w:p w:rsidR="005473CE" w:rsidRPr="008F00C9" w:rsidRDefault="005473CE" w:rsidP="0019180E">
            <w:pPr>
              <w:spacing w:after="0" w:line="240" w:lineRule="auto"/>
              <w:jc w:val="both"/>
              <w:rPr>
                <w:rFonts w:ascii="Times New Roman" w:hAnsi="Times New Roman" w:cs="Times New Roman"/>
                <w:sz w:val="20"/>
                <w:szCs w:val="20"/>
              </w:rPr>
            </w:pPr>
            <w:r w:rsidRPr="008F00C9">
              <w:rPr>
                <w:rFonts w:ascii="Times New Roman" w:hAnsi="Times New Roman" w:cs="Times New Roman"/>
                <w:sz w:val="20"/>
                <w:szCs w:val="20"/>
              </w:rPr>
              <w:t>1.75%</w:t>
            </w:r>
          </w:p>
        </w:tc>
        <w:tc>
          <w:tcPr>
            <w:tcW w:w="0" w:type="auto"/>
          </w:tcPr>
          <w:p w:rsidR="005473CE" w:rsidRPr="008F00C9" w:rsidRDefault="005473CE" w:rsidP="0019180E">
            <w:pPr>
              <w:spacing w:after="0" w:line="240" w:lineRule="auto"/>
              <w:jc w:val="both"/>
              <w:rPr>
                <w:rFonts w:ascii="Times New Roman" w:hAnsi="Times New Roman" w:cs="Times New Roman"/>
                <w:sz w:val="20"/>
                <w:szCs w:val="20"/>
              </w:rPr>
            </w:pPr>
            <w:r w:rsidRPr="008F00C9">
              <w:rPr>
                <w:rFonts w:ascii="Times New Roman" w:hAnsi="Times New Roman" w:cs="Times New Roman"/>
                <w:sz w:val="20"/>
                <w:szCs w:val="20"/>
              </w:rPr>
              <w:t>2.35%</w:t>
            </w:r>
          </w:p>
        </w:tc>
        <w:tc>
          <w:tcPr>
            <w:tcW w:w="0" w:type="auto"/>
          </w:tcPr>
          <w:p w:rsidR="005473CE" w:rsidRPr="008F00C9" w:rsidRDefault="005473CE" w:rsidP="0019180E">
            <w:pPr>
              <w:spacing w:after="0" w:line="240" w:lineRule="auto"/>
              <w:jc w:val="both"/>
              <w:rPr>
                <w:rFonts w:ascii="Times New Roman" w:hAnsi="Times New Roman" w:cs="Times New Roman"/>
                <w:sz w:val="20"/>
                <w:szCs w:val="20"/>
              </w:rPr>
            </w:pPr>
            <w:r w:rsidRPr="008F00C9">
              <w:rPr>
                <w:rFonts w:ascii="Times New Roman" w:hAnsi="Times New Roman" w:cs="Times New Roman"/>
                <w:sz w:val="20"/>
                <w:szCs w:val="20"/>
              </w:rPr>
              <w:t>9.1%</w:t>
            </w:r>
          </w:p>
        </w:tc>
      </w:tr>
      <w:tr w:rsidR="005473CE" w:rsidRPr="008F00C9" w:rsidTr="0019180E">
        <w:trPr>
          <w:jc w:val="center"/>
        </w:trPr>
        <w:tc>
          <w:tcPr>
            <w:tcW w:w="0" w:type="auto"/>
          </w:tcPr>
          <w:p w:rsidR="005473CE" w:rsidRPr="008F00C9" w:rsidRDefault="008F00C9" w:rsidP="008F00C9">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Collective investment vehicles</w:t>
            </w:r>
            <w:r w:rsidR="005473CE" w:rsidRPr="008F00C9">
              <w:rPr>
                <w:rFonts w:ascii="Times New Roman" w:hAnsi="Times New Roman" w:cs="Times New Roman"/>
                <w:b/>
                <w:sz w:val="20"/>
                <w:szCs w:val="20"/>
              </w:rPr>
              <w:t xml:space="preserve"> (OPC)</w:t>
            </w:r>
          </w:p>
        </w:tc>
        <w:tc>
          <w:tcPr>
            <w:tcW w:w="0" w:type="auto"/>
          </w:tcPr>
          <w:p w:rsidR="005473CE" w:rsidRPr="008F00C9" w:rsidRDefault="005473CE" w:rsidP="0019180E">
            <w:pPr>
              <w:spacing w:after="0" w:line="240" w:lineRule="auto"/>
              <w:jc w:val="both"/>
              <w:rPr>
                <w:rFonts w:ascii="Times New Roman" w:hAnsi="Times New Roman" w:cs="Times New Roman"/>
                <w:b/>
                <w:sz w:val="20"/>
                <w:szCs w:val="20"/>
              </w:rPr>
            </w:pPr>
            <w:r w:rsidRPr="008F00C9">
              <w:rPr>
                <w:rFonts w:ascii="Times New Roman" w:hAnsi="Times New Roman" w:cs="Times New Roman"/>
                <w:b/>
                <w:sz w:val="20"/>
                <w:szCs w:val="20"/>
              </w:rPr>
              <w:t>2.24%</w:t>
            </w:r>
          </w:p>
        </w:tc>
        <w:tc>
          <w:tcPr>
            <w:tcW w:w="0" w:type="auto"/>
          </w:tcPr>
          <w:p w:rsidR="005473CE" w:rsidRPr="008F00C9" w:rsidRDefault="005473CE" w:rsidP="0019180E">
            <w:pPr>
              <w:spacing w:after="0" w:line="240" w:lineRule="auto"/>
              <w:jc w:val="both"/>
              <w:rPr>
                <w:rFonts w:ascii="Times New Roman" w:hAnsi="Times New Roman" w:cs="Times New Roman"/>
                <w:b/>
                <w:sz w:val="20"/>
                <w:szCs w:val="20"/>
              </w:rPr>
            </w:pPr>
            <w:r w:rsidRPr="008F00C9">
              <w:rPr>
                <w:rFonts w:ascii="Times New Roman" w:hAnsi="Times New Roman" w:cs="Times New Roman"/>
                <w:b/>
                <w:sz w:val="20"/>
                <w:szCs w:val="20"/>
              </w:rPr>
              <w:t>5.43%</w:t>
            </w:r>
          </w:p>
        </w:tc>
        <w:tc>
          <w:tcPr>
            <w:tcW w:w="0" w:type="auto"/>
          </w:tcPr>
          <w:p w:rsidR="005473CE" w:rsidRPr="008F00C9" w:rsidRDefault="005473CE" w:rsidP="0019180E">
            <w:pPr>
              <w:spacing w:after="0" w:line="240" w:lineRule="auto"/>
              <w:jc w:val="both"/>
              <w:rPr>
                <w:rFonts w:ascii="Times New Roman" w:hAnsi="Times New Roman" w:cs="Times New Roman"/>
                <w:b/>
                <w:sz w:val="20"/>
                <w:szCs w:val="20"/>
              </w:rPr>
            </w:pPr>
            <w:r w:rsidRPr="008F00C9">
              <w:rPr>
                <w:rFonts w:ascii="Times New Roman" w:hAnsi="Times New Roman" w:cs="Times New Roman"/>
                <w:b/>
                <w:sz w:val="20"/>
                <w:szCs w:val="20"/>
              </w:rPr>
              <w:t>5.08%</w:t>
            </w:r>
          </w:p>
        </w:tc>
        <w:tc>
          <w:tcPr>
            <w:tcW w:w="0" w:type="auto"/>
          </w:tcPr>
          <w:p w:rsidR="005473CE" w:rsidRPr="008F00C9" w:rsidRDefault="005473CE" w:rsidP="0019180E">
            <w:pPr>
              <w:spacing w:after="0" w:line="240" w:lineRule="auto"/>
              <w:jc w:val="both"/>
              <w:rPr>
                <w:rFonts w:ascii="Times New Roman" w:hAnsi="Times New Roman" w:cs="Times New Roman"/>
                <w:b/>
                <w:sz w:val="20"/>
                <w:szCs w:val="20"/>
              </w:rPr>
            </w:pPr>
            <w:r w:rsidRPr="008F00C9">
              <w:rPr>
                <w:rFonts w:ascii="Times New Roman" w:hAnsi="Times New Roman" w:cs="Times New Roman"/>
                <w:b/>
                <w:sz w:val="20"/>
                <w:szCs w:val="20"/>
              </w:rPr>
              <w:t>4.38%</w:t>
            </w:r>
          </w:p>
        </w:tc>
        <w:tc>
          <w:tcPr>
            <w:tcW w:w="0" w:type="auto"/>
          </w:tcPr>
          <w:p w:rsidR="005473CE" w:rsidRPr="008F00C9" w:rsidRDefault="005473CE" w:rsidP="0019180E">
            <w:pPr>
              <w:spacing w:after="0" w:line="240" w:lineRule="auto"/>
              <w:jc w:val="both"/>
              <w:rPr>
                <w:rFonts w:ascii="Times New Roman" w:hAnsi="Times New Roman" w:cs="Times New Roman"/>
                <w:b/>
                <w:sz w:val="20"/>
                <w:szCs w:val="20"/>
              </w:rPr>
            </w:pPr>
            <w:r w:rsidRPr="008F00C9">
              <w:rPr>
                <w:rFonts w:ascii="Times New Roman" w:hAnsi="Times New Roman" w:cs="Times New Roman"/>
                <w:b/>
                <w:sz w:val="20"/>
                <w:szCs w:val="20"/>
              </w:rPr>
              <w:t>5.70%</w:t>
            </w:r>
          </w:p>
        </w:tc>
        <w:tc>
          <w:tcPr>
            <w:tcW w:w="0" w:type="auto"/>
          </w:tcPr>
          <w:p w:rsidR="005473CE" w:rsidRPr="008F00C9" w:rsidRDefault="005473CE" w:rsidP="0019180E">
            <w:pPr>
              <w:spacing w:after="0" w:line="240" w:lineRule="auto"/>
              <w:jc w:val="both"/>
              <w:rPr>
                <w:rFonts w:ascii="Times New Roman" w:hAnsi="Times New Roman" w:cs="Times New Roman"/>
                <w:b/>
                <w:sz w:val="20"/>
                <w:szCs w:val="20"/>
              </w:rPr>
            </w:pPr>
            <w:r w:rsidRPr="008F00C9">
              <w:rPr>
                <w:rFonts w:ascii="Times New Roman" w:hAnsi="Times New Roman" w:cs="Times New Roman"/>
                <w:b/>
                <w:sz w:val="20"/>
                <w:szCs w:val="20"/>
              </w:rPr>
              <w:t>4.2%</w:t>
            </w:r>
          </w:p>
        </w:tc>
      </w:tr>
    </w:tbl>
    <w:p w:rsidR="005473CE" w:rsidRPr="008F00C9" w:rsidRDefault="004C614C" w:rsidP="004C614C">
      <w:pPr>
        <w:spacing w:after="120" w:line="360" w:lineRule="auto"/>
        <w:jc w:val="center"/>
        <w:rPr>
          <w:rFonts w:ascii="Times New Roman" w:hAnsi="Times New Roman" w:cs="Times New Roman"/>
          <w:sz w:val="20"/>
          <w:szCs w:val="20"/>
        </w:rPr>
      </w:pPr>
      <w:r w:rsidRPr="008F00C9">
        <w:rPr>
          <w:rFonts w:ascii="Times New Roman" w:hAnsi="Times New Roman" w:cs="Times New Roman"/>
          <w:sz w:val="20"/>
          <w:szCs w:val="20"/>
        </w:rPr>
        <w:t xml:space="preserve">Source: author’s own calculations using ASF data (2012, 2014) and </w:t>
      </w:r>
      <w:hyperlink r:id="rId27" w:history="1">
        <w:r w:rsidRPr="008F00C9">
          <w:rPr>
            <w:rStyle w:val="Hyperlink"/>
            <w:rFonts w:ascii="Times New Roman" w:hAnsi="Times New Roman" w:cs="Times New Roman"/>
            <w:sz w:val="20"/>
            <w:szCs w:val="20"/>
          </w:rPr>
          <w:t>www.insse.ro</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4"/>
        <w:gridCol w:w="766"/>
        <w:gridCol w:w="766"/>
        <w:gridCol w:w="766"/>
        <w:gridCol w:w="766"/>
        <w:gridCol w:w="666"/>
      </w:tblGrid>
      <w:tr w:rsidR="005473CE" w:rsidRPr="008F00C9" w:rsidTr="0019180E">
        <w:trPr>
          <w:jc w:val="center"/>
        </w:trPr>
        <w:tc>
          <w:tcPr>
            <w:tcW w:w="0" w:type="auto"/>
          </w:tcPr>
          <w:p w:rsidR="005473CE" w:rsidRPr="008F00C9" w:rsidRDefault="00D6455A" w:rsidP="00D6455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Categories of c</w:t>
            </w:r>
            <w:r w:rsidR="008F00C9">
              <w:rPr>
                <w:rFonts w:ascii="Times New Roman" w:hAnsi="Times New Roman" w:cs="Times New Roman"/>
                <w:b/>
                <w:sz w:val="20"/>
                <w:szCs w:val="20"/>
              </w:rPr>
              <w:t>ollective investment vehicles</w:t>
            </w:r>
            <w:r w:rsidR="005473CE" w:rsidRPr="008F00C9">
              <w:rPr>
                <w:rFonts w:ascii="Times New Roman" w:hAnsi="Times New Roman" w:cs="Times New Roman"/>
                <w:b/>
                <w:sz w:val="20"/>
                <w:szCs w:val="20"/>
              </w:rPr>
              <w:t xml:space="preserve"> OPC</w:t>
            </w:r>
            <w:r>
              <w:rPr>
                <w:rFonts w:ascii="Times New Roman" w:hAnsi="Times New Roman" w:cs="Times New Roman"/>
                <w:b/>
                <w:sz w:val="20"/>
                <w:szCs w:val="20"/>
              </w:rPr>
              <w:t xml:space="preserve"> </w:t>
            </w:r>
          </w:p>
        </w:tc>
        <w:tc>
          <w:tcPr>
            <w:tcW w:w="0" w:type="auto"/>
          </w:tcPr>
          <w:p w:rsidR="005473CE" w:rsidRPr="008F00C9" w:rsidRDefault="005473CE" w:rsidP="0019180E">
            <w:pPr>
              <w:spacing w:after="0" w:line="240" w:lineRule="auto"/>
              <w:jc w:val="both"/>
              <w:rPr>
                <w:rFonts w:ascii="Times New Roman" w:hAnsi="Times New Roman" w:cs="Times New Roman"/>
                <w:b/>
                <w:sz w:val="20"/>
                <w:szCs w:val="20"/>
              </w:rPr>
            </w:pPr>
            <w:r w:rsidRPr="008F00C9">
              <w:rPr>
                <w:rFonts w:ascii="Times New Roman" w:hAnsi="Times New Roman" w:cs="Times New Roman"/>
                <w:b/>
                <w:sz w:val="20"/>
                <w:szCs w:val="20"/>
              </w:rPr>
              <w:t>2010</w:t>
            </w:r>
          </w:p>
        </w:tc>
        <w:tc>
          <w:tcPr>
            <w:tcW w:w="0" w:type="auto"/>
          </w:tcPr>
          <w:p w:rsidR="005473CE" w:rsidRPr="008F00C9" w:rsidRDefault="005473CE" w:rsidP="0019180E">
            <w:pPr>
              <w:spacing w:after="0" w:line="240" w:lineRule="auto"/>
              <w:jc w:val="both"/>
              <w:rPr>
                <w:rFonts w:ascii="Times New Roman" w:hAnsi="Times New Roman" w:cs="Times New Roman"/>
                <w:b/>
                <w:sz w:val="20"/>
                <w:szCs w:val="20"/>
              </w:rPr>
            </w:pPr>
            <w:r w:rsidRPr="008F00C9">
              <w:rPr>
                <w:rFonts w:ascii="Times New Roman" w:hAnsi="Times New Roman" w:cs="Times New Roman"/>
                <w:b/>
                <w:sz w:val="20"/>
                <w:szCs w:val="20"/>
              </w:rPr>
              <w:t>2011</w:t>
            </w:r>
          </w:p>
        </w:tc>
        <w:tc>
          <w:tcPr>
            <w:tcW w:w="0" w:type="auto"/>
          </w:tcPr>
          <w:p w:rsidR="005473CE" w:rsidRPr="008F00C9" w:rsidRDefault="005473CE" w:rsidP="0019180E">
            <w:pPr>
              <w:spacing w:after="0" w:line="240" w:lineRule="auto"/>
              <w:jc w:val="both"/>
              <w:rPr>
                <w:rFonts w:ascii="Times New Roman" w:hAnsi="Times New Roman" w:cs="Times New Roman"/>
                <w:b/>
                <w:sz w:val="20"/>
                <w:szCs w:val="20"/>
              </w:rPr>
            </w:pPr>
            <w:r w:rsidRPr="008F00C9">
              <w:rPr>
                <w:rFonts w:ascii="Times New Roman" w:hAnsi="Times New Roman" w:cs="Times New Roman"/>
                <w:b/>
                <w:sz w:val="20"/>
                <w:szCs w:val="20"/>
              </w:rPr>
              <w:t>2012</w:t>
            </w:r>
          </w:p>
        </w:tc>
        <w:tc>
          <w:tcPr>
            <w:tcW w:w="0" w:type="auto"/>
          </w:tcPr>
          <w:p w:rsidR="005473CE" w:rsidRPr="008F00C9" w:rsidRDefault="005473CE" w:rsidP="0019180E">
            <w:pPr>
              <w:spacing w:after="0" w:line="240" w:lineRule="auto"/>
              <w:jc w:val="both"/>
              <w:rPr>
                <w:rFonts w:ascii="Times New Roman" w:hAnsi="Times New Roman" w:cs="Times New Roman"/>
                <w:b/>
                <w:sz w:val="20"/>
                <w:szCs w:val="20"/>
              </w:rPr>
            </w:pPr>
            <w:r w:rsidRPr="008F00C9">
              <w:rPr>
                <w:rFonts w:ascii="Times New Roman" w:hAnsi="Times New Roman" w:cs="Times New Roman"/>
                <w:b/>
                <w:sz w:val="20"/>
                <w:szCs w:val="20"/>
              </w:rPr>
              <w:t>2013</w:t>
            </w:r>
          </w:p>
        </w:tc>
        <w:tc>
          <w:tcPr>
            <w:tcW w:w="0" w:type="auto"/>
          </w:tcPr>
          <w:p w:rsidR="005473CE" w:rsidRPr="008F00C9" w:rsidRDefault="005473CE" w:rsidP="0019180E">
            <w:pPr>
              <w:spacing w:after="0" w:line="240" w:lineRule="auto"/>
              <w:jc w:val="both"/>
              <w:rPr>
                <w:rFonts w:ascii="Times New Roman" w:hAnsi="Times New Roman" w:cs="Times New Roman"/>
                <w:b/>
                <w:sz w:val="20"/>
                <w:szCs w:val="20"/>
              </w:rPr>
            </w:pPr>
            <w:r w:rsidRPr="008F00C9">
              <w:rPr>
                <w:rFonts w:ascii="Times New Roman" w:hAnsi="Times New Roman" w:cs="Times New Roman"/>
                <w:b/>
                <w:sz w:val="20"/>
                <w:szCs w:val="20"/>
              </w:rPr>
              <w:t>2014</w:t>
            </w:r>
          </w:p>
        </w:tc>
      </w:tr>
      <w:tr w:rsidR="005473CE" w:rsidRPr="008F00C9" w:rsidTr="0019180E">
        <w:trPr>
          <w:jc w:val="center"/>
        </w:trPr>
        <w:tc>
          <w:tcPr>
            <w:tcW w:w="0" w:type="auto"/>
          </w:tcPr>
          <w:p w:rsidR="005473CE" w:rsidRPr="008F00C9" w:rsidRDefault="008F00C9" w:rsidP="0019180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Collective investment funds</w:t>
            </w:r>
            <w:r w:rsidR="005473CE" w:rsidRPr="008F00C9">
              <w:rPr>
                <w:rFonts w:ascii="Times New Roman" w:hAnsi="Times New Roman" w:cs="Times New Roman"/>
                <w:b/>
                <w:sz w:val="20"/>
                <w:szCs w:val="20"/>
              </w:rPr>
              <w:t xml:space="preserve"> (OPC)</w:t>
            </w:r>
          </w:p>
        </w:tc>
        <w:tc>
          <w:tcPr>
            <w:tcW w:w="0" w:type="auto"/>
          </w:tcPr>
          <w:p w:rsidR="005473CE" w:rsidRPr="008F00C9" w:rsidRDefault="005473CE" w:rsidP="0019180E">
            <w:pPr>
              <w:spacing w:after="0" w:line="240" w:lineRule="auto"/>
              <w:jc w:val="both"/>
              <w:rPr>
                <w:rFonts w:ascii="Times New Roman" w:hAnsi="Times New Roman" w:cs="Times New Roman"/>
                <w:b/>
                <w:sz w:val="20"/>
                <w:szCs w:val="20"/>
              </w:rPr>
            </w:pPr>
            <w:r w:rsidRPr="008F00C9">
              <w:rPr>
                <w:rFonts w:ascii="Times New Roman" w:hAnsi="Times New Roman" w:cs="Times New Roman"/>
                <w:b/>
                <w:sz w:val="20"/>
                <w:szCs w:val="20"/>
              </w:rPr>
              <w:t>5.43%</w:t>
            </w:r>
          </w:p>
        </w:tc>
        <w:tc>
          <w:tcPr>
            <w:tcW w:w="0" w:type="auto"/>
          </w:tcPr>
          <w:p w:rsidR="005473CE" w:rsidRPr="008F00C9" w:rsidRDefault="005473CE" w:rsidP="0019180E">
            <w:pPr>
              <w:spacing w:after="0" w:line="240" w:lineRule="auto"/>
              <w:jc w:val="both"/>
              <w:rPr>
                <w:rFonts w:ascii="Times New Roman" w:hAnsi="Times New Roman" w:cs="Times New Roman"/>
                <w:b/>
                <w:sz w:val="20"/>
                <w:szCs w:val="20"/>
              </w:rPr>
            </w:pPr>
            <w:r w:rsidRPr="008F00C9">
              <w:rPr>
                <w:rFonts w:ascii="Times New Roman" w:hAnsi="Times New Roman" w:cs="Times New Roman"/>
                <w:b/>
                <w:sz w:val="20"/>
                <w:szCs w:val="20"/>
              </w:rPr>
              <w:t>5.08%</w:t>
            </w:r>
          </w:p>
        </w:tc>
        <w:tc>
          <w:tcPr>
            <w:tcW w:w="0" w:type="auto"/>
          </w:tcPr>
          <w:p w:rsidR="005473CE" w:rsidRPr="008F00C9" w:rsidRDefault="005473CE" w:rsidP="0019180E">
            <w:pPr>
              <w:spacing w:after="0" w:line="240" w:lineRule="auto"/>
              <w:jc w:val="both"/>
              <w:rPr>
                <w:rFonts w:ascii="Times New Roman" w:hAnsi="Times New Roman" w:cs="Times New Roman"/>
                <w:b/>
                <w:sz w:val="20"/>
                <w:szCs w:val="20"/>
              </w:rPr>
            </w:pPr>
            <w:r w:rsidRPr="008F00C9">
              <w:rPr>
                <w:rFonts w:ascii="Times New Roman" w:hAnsi="Times New Roman" w:cs="Times New Roman"/>
                <w:b/>
                <w:sz w:val="20"/>
                <w:szCs w:val="20"/>
              </w:rPr>
              <w:t>4.38%</w:t>
            </w:r>
          </w:p>
        </w:tc>
        <w:tc>
          <w:tcPr>
            <w:tcW w:w="0" w:type="auto"/>
          </w:tcPr>
          <w:p w:rsidR="005473CE" w:rsidRPr="008F00C9" w:rsidRDefault="005473CE" w:rsidP="0019180E">
            <w:pPr>
              <w:spacing w:after="0" w:line="240" w:lineRule="auto"/>
              <w:jc w:val="both"/>
              <w:rPr>
                <w:rFonts w:ascii="Times New Roman" w:hAnsi="Times New Roman" w:cs="Times New Roman"/>
                <w:b/>
                <w:sz w:val="20"/>
                <w:szCs w:val="20"/>
              </w:rPr>
            </w:pPr>
            <w:r w:rsidRPr="008F00C9">
              <w:rPr>
                <w:rFonts w:ascii="Times New Roman" w:hAnsi="Times New Roman" w:cs="Times New Roman"/>
                <w:b/>
                <w:sz w:val="20"/>
                <w:szCs w:val="20"/>
              </w:rPr>
              <w:t>5.70%</w:t>
            </w:r>
          </w:p>
        </w:tc>
        <w:tc>
          <w:tcPr>
            <w:tcW w:w="0" w:type="auto"/>
          </w:tcPr>
          <w:p w:rsidR="005473CE" w:rsidRPr="008F00C9" w:rsidRDefault="005473CE" w:rsidP="0019180E">
            <w:pPr>
              <w:spacing w:after="0" w:line="240" w:lineRule="auto"/>
              <w:jc w:val="both"/>
              <w:rPr>
                <w:rFonts w:ascii="Times New Roman" w:hAnsi="Times New Roman" w:cs="Times New Roman"/>
                <w:b/>
                <w:sz w:val="20"/>
                <w:szCs w:val="20"/>
              </w:rPr>
            </w:pPr>
            <w:r w:rsidRPr="008F00C9">
              <w:rPr>
                <w:rFonts w:ascii="Times New Roman" w:hAnsi="Times New Roman" w:cs="Times New Roman"/>
                <w:b/>
                <w:sz w:val="20"/>
                <w:szCs w:val="20"/>
              </w:rPr>
              <w:t>4.2%</w:t>
            </w:r>
          </w:p>
        </w:tc>
      </w:tr>
      <w:tr w:rsidR="005473CE" w:rsidRPr="008F00C9" w:rsidTr="0019180E">
        <w:trPr>
          <w:jc w:val="center"/>
        </w:trPr>
        <w:tc>
          <w:tcPr>
            <w:tcW w:w="0" w:type="auto"/>
          </w:tcPr>
          <w:p w:rsidR="005473CE" w:rsidRPr="008F00C9" w:rsidRDefault="008F00C9" w:rsidP="0019180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Close-end funds</w:t>
            </w:r>
          </w:p>
        </w:tc>
        <w:tc>
          <w:tcPr>
            <w:tcW w:w="0" w:type="auto"/>
          </w:tcPr>
          <w:p w:rsidR="005473CE" w:rsidRPr="008F00C9" w:rsidRDefault="005473CE" w:rsidP="0019180E">
            <w:pPr>
              <w:spacing w:after="0" w:line="240" w:lineRule="auto"/>
              <w:jc w:val="right"/>
              <w:rPr>
                <w:rFonts w:ascii="Times New Roman" w:hAnsi="Times New Roman" w:cs="Times New Roman"/>
                <w:sz w:val="20"/>
                <w:szCs w:val="20"/>
              </w:rPr>
            </w:pPr>
            <w:r w:rsidRPr="008F00C9">
              <w:rPr>
                <w:rFonts w:ascii="Times New Roman" w:hAnsi="Times New Roman" w:cs="Times New Roman"/>
                <w:sz w:val="20"/>
                <w:szCs w:val="20"/>
              </w:rPr>
              <w:t>0.03</w:t>
            </w:r>
          </w:p>
        </w:tc>
        <w:tc>
          <w:tcPr>
            <w:tcW w:w="0" w:type="auto"/>
          </w:tcPr>
          <w:p w:rsidR="005473CE" w:rsidRPr="008F00C9" w:rsidRDefault="005473CE" w:rsidP="0019180E">
            <w:pPr>
              <w:spacing w:after="0" w:line="240" w:lineRule="auto"/>
              <w:jc w:val="right"/>
              <w:rPr>
                <w:rFonts w:ascii="Times New Roman" w:hAnsi="Times New Roman" w:cs="Times New Roman"/>
                <w:sz w:val="20"/>
                <w:szCs w:val="20"/>
              </w:rPr>
            </w:pPr>
            <w:r w:rsidRPr="008F00C9">
              <w:rPr>
                <w:rFonts w:ascii="Times New Roman" w:hAnsi="Times New Roman" w:cs="Times New Roman"/>
                <w:sz w:val="20"/>
                <w:szCs w:val="20"/>
              </w:rPr>
              <w:t>0.05</w:t>
            </w:r>
          </w:p>
        </w:tc>
        <w:tc>
          <w:tcPr>
            <w:tcW w:w="0" w:type="auto"/>
          </w:tcPr>
          <w:p w:rsidR="005473CE" w:rsidRPr="008F00C9" w:rsidRDefault="005473CE" w:rsidP="0019180E">
            <w:pPr>
              <w:spacing w:after="0" w:line="240" w:lineRule="auto"/>
              <w:jc w:val="right"/>
              <w:rPr>
                <w:rFonts w:ascii="Times New Roman" w:hAnsi="Times New Roman" w:cs="Times New Roman"/>
                <w:sz w:val="20"/>
                <w:szCs w:val="20"/>
              </w:rPr>
            </w:pPr>
            <w:r w:rsidRPr="008F00C9">
              <w:rPr>
                <w:rFonts w:ascii="Times New Roman" w:hAnsi="Times New Roman" w:cs="Times New Roman"/>
                <w:sz w:val="20"/>
                <w:szCs w:val="20"/>
              </w:rPr>
              <w:t>0.07</w:t>
            </w:r>
          </w:p>
        </w:tc>
        <w:tc>
          <w:tcPr>
            <w:tcW w:w="0" w:type="auto"/>
          </w:tcPr>
          <w:p w:rsidR="005473CE" w:rsidRPr="008F00C9" w:rsidRDefault="005473CE" w:rsidP="0019180E">
            <w:pPr>
              <w:spacing w:after="0" w:line="240" w:lineRule="auto"/>
              <w:jc w:val="right"/>
              <w:rPr>
                <w:rFonts w:ascii="Times New Roman" w:hAnsi="Times New Roman" w:cs="Times New Roman"/>
                <w:sz w:val="20"/>
                <w:szCs w:val="20"/>
              </w:rPr>
            </w:pPr>
            <w:r w:rsidRPr="008F00C9">
              <w:rPr>
                <w:rFonts w:ascii="Times New Roman" w:hAnsi="Times New Roman" w:cs="Times New Roman"/>
                <w:sz w:val="20"/>
                <w:szCs w:val="20"/>
              </w:rPr>
              <w:t>0.10</w:t>
            </w:r>
          </w:p>
        </w:tc>
        <w:tc>
          <w:tcPr>
            <w:tcW w:w="0" w:type="auto"/>
          </w:tcPr>
          <w:p w:rsidR="005473CE" w:rsidRPr="008F00C9" w:rsidRDefault="005473CE" w:rsidP="0019180E">
            <w:pPr>
              <w:spacing w:after="0" w:line="240" w:lineRule="auto"/>
              <w:jc w:val="right"/>
              <w:rPr>
                <w:rFonts w:ascii="Times New Roman" w:hAnsi="Times New Roman" w:cs="Times New Roman"/>
                <w:sz w:val="20"/>
                <w:szCs w:val="20"/>
              </w:rPr>
            </w:pPr>
            <w:r w:rsidRPr="008F00C9">
              <w:rPr>
                <w:rFonts w:ascii="Times New Roman" w:hAnsi="Times New Roman" w:cs="Times New Roman"/>
                <w:sz w:val="20"/>
                <w:szCs w:val="20"/>
              </w:rPr>
              <w:t>0.13</w:t>
            </w:r>
          </w:p>
        </w:tc>
      </w:tr>
      <w:tr w:rsidR="005473CE" w:rsidRPr="008F00C9" w:rsidTr="0019180E">
        <w:trPr>
          <w:jc w:val="center"/>
        </w:trPr>
        <w:tc>
          <w:tcPr>
            <w:tcW w:w="0" w:type="auto"/>
          </w:tcPr>
          <w:p w:rsidR="005473CE" w:rsidRPr="008F00C9" w:rsidRDefault="008F00C9" w:rsidP="0019180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Mutual funds</w:t>
            </w:r>
          </w:p>
        </w:tc>
        <w:tc>
          <w:tcPr>
            <w:tcW w:w="0" w:type="auto"/>
          </w:tcPr>
          <w:p w:rsidR="005473CE" w:rsidRPr="008F00C9" w:rsidRDefault="005473CE" w:rsidP="0019180E">
            <w:pPr>
              <w:spacing w:after="0" w:line="240" w:lineRule="auto"/>
              <w:jc w:val="right"/>
              <w:rPr>
                <w:rFonts w:ascii="Times New Roman" w:hAnsi="Times New Roman" w:cs="Times New Roman"/>
                <w:sz w:val="20"/>
                <w:szCs w:val="20"/>
              </w:rPr>
            </w:pPr>
            <w:r w:rsidRPr="008F00C9">
              <w:rPr>
                <w:rFonts w:ascii="Times New Roman" w:hAnsi="Times New Roman" w:cs="Times New Roman"/>
                <w:sz w:val="20"/>
                <w:szCs w:val="20"/>
              </w:rPr>
              <w:t>1.03</w:t>
            </w:r>
          </w:p>
        </w:tc>
        <w:tc>
          <w:tcPr>
            <w:tcW w:w="0" w:type="auto"/>
          </w:tcPr>
          <w:p w:rsidR="005473CE" w:rsidRPr="008F00C9" w:rsidRDefault="005473CE" w:rsidP="0019180E">
            <w:pPr>
              <w:spacing w:after="0" w:line="240" w:lineRule="auto"/>
              <w:jc w:val="right"/>
              <w:rPr>
                <w:rFonts w:ascii="Times New Roman" w:hAnsi="Times New Roman" w:cs="Times New Roman"/>
                <w:sz w:val="20"/>
                <w:szCs w:val="20"/>
              </w:rPr>
            </w:pPr>
            <w:r w:rsidRPr="008F00C9">
              <w:rPr>
                <w:rFonts w:ascii="Times New Roman" w:hAnsi="Times New Roman" w:cs="Times New Roman"/>
                <w:sz w:val="20"/>
                <w:szCs w:val="20"/>
              </w:rPr>
              <w:t>1.20</w:t>
            </w:r>
          </w:p>
        </w:tc>
        <w:tc>
          <w:tcPr>
            <w:tcW w:w="0" w:type="auto"/>
          </w:tcPr>
          <w:p w:rsidR="005473CE" w:rsidRPr="008F00C9" w:rsidRDefault="005473CE" w:rsidP="0019180E">
            <w:pPr>
              <w:spacing w:after="0" w:line="240" w:lineRule="auto"/>
              <w:jc w:val="right"/>
              <w:rPr>
                <w:rFonts w:ascii="Times New Roman" w:hAnsi="Times New Roman" w:cs="Times New Roman"/>
                <w:sz w:val="20"/>
                <w:szCs w:val="20"/>
              </w:rPr>
            </w:pPr>
            <w:r w:rsidRPr="008F00C9">
              <w:rPr>
                <w:rFonts w:ascii="Times New Roman" w:hAnsi="Times New Roman" w:cs="Times New Roman"/>
                <w:sz w:val="20"/>
                <w:szCs w:val="20"/>
              </w:rPr>
              <w:t>1.48</w:t>
            </w:r>
          </w:p>
        </w:tc>
        <w:tc>
          <w:tcPr>
            <w:tcW w:w="0" w:type="auto"/>
          </w:tcPr>
          <w:p w:rsidR="005473CE" w:rsidRPr="008F00C9" w:rsidRDefault="005473CE" w:rsidP="0019180E">
            <w:pPr>
              <w:spacing w:after="0" w:line="240" w:lineRule="auto"/>
              <w:jc w:val="right"/>
              <w:rPr>
                <w:rFonts w:ascii="Times New Roman" w:hAnsi="Times New Roman" w:cs="Times New Roman"/>
                <w:b/>
                <w:color w:val="002060"/>
                <w:sz w:val="20"/>
                <w:szCs w:val="20"/>
              </w:rPr>
            </w:pPr>
            <w:r w:rsidRPr="008F00C9">
              <w:rPr>
                <w:rFonts w:ascii="Times New Roman" w:hAnsi="Times New Roman" w:cs="Times New Roman"/>
                <w:b/>
                <w:color w:val="002060"/>
                <w:sz w:val="20"/>
                <w:szCs w:val="20"/>
              </w:rPr>
              <w:t>2.04</w:t>
            </w:r>
          </w:p>
        </w:tc>
        <w:tc>
          <w:tcPr>
            <w:tcW w:w="0" w:type="auto"/>
          </w:tcPr>
          <w:p w:rsidR="005473CE" w:rsidRPr="008F00C9" w:rsidRDefault="005473CE" w:rsidP="0019180E">
            <w:pPr>
              <w:spacing w:after="0" w:line="240" w:lineRule="auto"/>
              <w:jc w:val="right"/>
              <w:rPr>
                <w:rFonts w:ascii="Times New Roman" w:hAnsi="Times New Roman" w:cs="Times New Roman"/>
                <w:b/>
                <w:color w:val="002060"/>
                <w:sz w:val="20"/>
                <w:szCs w:val="20"/>
              </w:rPr>
            </w:pPr>
            <w:r w:rsidRPr="008F00C9">
              <w:rPr>
                <w:rFonts w:ascii="Times New Roman" w:hAnsi="Times New Roman" w:cs="Times New Roman"/>
                <w:b/>
                <w:color w:val="002060"/>
                <w:sz w:val="20"/>
                <w:szCs w:val="20"/>
              </w:rPr>
              <w:t>2.75</w:t>
            </w:r>
          </w:p>
        </w:tc>
      </w:tr>
      <w:tr w:rsidR="005473CE" w:rsidRPr="008F00C9" w:rsidTr="0019180E">
        <w:trPr>
          <w:jc w:val="center"/>
        </w:trPr>
        <w:tc>
          <w:tcPr>
            <w:tcW w:w="0" w:type="auto"/>
          </w:tcPr>
          <w:p w:rsidR="005473CE" w:rsidRPr="008F00C9" w:rsidRDefault="008F00C9" w:rsidP="0019180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Investment companies e</w:t>
            </w:r>
            <w:r w:rsidR="00D6455A">
              <w:rPr>
                <w:rFonts w:ascii="Times New Roman" w:hAnsi="Times New Roman" w:cs="Times New Roman"/>
                <w:sz w:val="20"/>
                <w:szCs w:val="20"/>
              </w:rPr>
              <w:t>.</w:t>
            </w:r>
            <w:r>
              <w:rPr>
                <w:rFonts w:ascii="Times New Roman" w:hAnsi="Times New Roman" w:cs="Times New Roman"/>
                <w:sz w:val="20"/>
                <w:szCs w:val="20"/>
              </w:rPr>
              <w:t>g.</w:t>
            </w:r>
            <w:r w:rsidR="005473CE" w:rsidRPr="008F00C9">
              <w:rPr>
                <w:rFonts w:ascii="Times New Roman" w:hAnsi="Times New Roman" w:cs="Times New Roman"/>
                <w:sz w:val="20"/>
                <w:szCs w:val="20"/>
              </w:rPr>
              <w:t xml:space="preserve"> SIF</w:t>
            </w:r>
          </w:p>
        </w:tc>
        <w:tc>
          <w:tcPr>
            <w:tcW w:w="0" w:type="auto"/>
          </w:tcPr>
          <w:p w:rsidR="005473CE" w:rsidRPr="008F00C9" w:rsidRDefault="005473CE" w:rsidP="0019180E">
            <w:pPr>
              <w:spacing w:after="0" w:line="240" w:lineRule="auto"/>
              <w:jc w:val="right"/>
              <w:rPr>
                <w:rFonts w:ascii="Times New Roman" w:hAnsi="Times New Roman" w:cs="Times New Roman"/>
                <w:sz w:val="20"/>
                <w:szCs w:val="20"/>
              </w:rPr>
            </w:pPr>
            <w:r w:rsidRPr="008F00C9">
              <w:rPr>
                <w:rFonts w:ascii="Times New Roman" w:hAnsi="Times New Roman" w:cs="Times New Roman"/>
                <w:sz w:val="20"/>
                <w:szCs w:val="20"/>
              </w:rPr>
              <w:t>1.37</w:t>
            </w:r>
          </w:p>
        </w:tc>
        <w:tc>
          <w:tcPr>
            <w:tcW w:w="0" w:type="auto"/>
          </w:tcPr>
          <w:p w:rsidR="005473CE" w:rsidRPr="008F00C9" w:rsidRDefault="005473CE" w:rsidP="0019180E">
            <w:pPr>
              <w:spacing w:after="0" w:line="240" w:lineRule="auto"/>
              <w:jc w:val="right"/>
              <w:rPr>
                <w:rFonts w:ascii="Times New Roman" w:hAnsi="Times New Roman" w:cs="Times New Roman"/>
                <w:sz w:val="20"/>
                <w:szCs w:val="20"/>
              </w:rPr>
            </w:pPr>
            <w:r w:rsidRPr="008F00C9">
              <w:rPr>
                <w:rFonts w:ascii="Times New Roman" w:hAnsi="Times New Roman" w:cs="Times New Roman"/>
                <w:sz w:val="20"/>
                <w:szCs w:val="20"/>
              </w:rPr>
              <w:t>1.19</w:t>
            </w:r>
          </w:p>
        </w:tc>
        <w:tc>
          <w:tcPr>
            <w:tcW w:w="0" w:type="auto"/>
          </w:tcPr>
          <w:p w:rsidR="005473CE" w:rsidRPr="008F00C9" w:rsidRDefault="005473CE" w:rsidP="0019180E">
            <w:pPr>
              <w:spacing w:after="0" w:line="240" w:lineRule="auto"/>
              <w:jc w:val="right"/>
              <w:rPr>
                <w:rFonts w:ascii="Times New Roman" w:hAnsi="Times New Roman" w:cs="Times New Roman"/>
                <w:sz w:val="20"/>
                <w:szCs w:val="20"/>
              </w:rPr>
            </w:pPr>
            <w:r w:rsidRPr="008F00C9">
              <w:rPr>
                <w:rFonts w:ascii="Times New Roman" w:hAnsi="Times New Roman" w:cs="Times New Roman"/>
                <w:sz w:val="20"/>
                <w:szCs w:val="20"/>
              </w:rPr>
              <w:t>1.09</w:t>
            </w:r>
          </w:p>
        </w:tc>
        <w:tc>
          <w:tcPr>
            <w:tcW w:w="0" w:type="auto"/>
          </w:tcPr>
          <w:p w:rsidR="005473CE" w:rsidRPr="008F00C9" w:rsidRDefault="005473CE" w:rsidP="0019180E">
            <w:pPr>
              <w:spacing w:after="0" w:line="240" w:lineRule="auto"/>
              <w:jc w:val="right"/>
              <w:rPr>
                <w:rFonts w:ascii="Times New Roman" w:hAnsi="Times New Roman" w:cs="Times New Roman"/>
                <w:sz w:val="20"/>
                <w:szCs w:val="20"/>
              </w:rPr>
            </w:pPr>
            <w:r w:rsidRPr="008F00C9">
              <w:rPr>
                <w:rFonts w:ascii="Times New Roman" w:hAnsi="Times New Roman" w:cs="Times New Roman"/>
                <w:sz w:val="20"/>
                <w:szCs w:val="20"/>
              </w:rPr>
              <w:t>1.12</w:t>
            </w:r>
          </w:p>
        </w:tc>
        <w:tc>
          <w:tcPr>
            <w:tcW w:w="0" w:type="auto"/>
          </w:tcPr>
          <w:p w:rsidR="005473CE" w:rsidRPr="008F00C9" w:rsidRDefault="005473CE" w:rsidP="0019180E">
            <w:pPr>
              <w:spacing w:after="0" w:line="240" w:lineRule="auto"/>
              <w:jc w:val="right"/>
              <w:rPr>
                <w:rFonts w:ascii="Times New Roman" w:hAnsi="Times New Roman" w:cs="Times New Roman"/>
                <w:sz w:val="20"/>
                <w:szCs w:val="20"/>
              </w:rPr>
            </w:pPr>
            <w:r w:rsidRPr="008F00C9">
              <w:rPr>
                <w:rFonts w:ascii="Times New Roman" w:hAnsi="Times New Roman" w:cs="Times New Roman"/>
                <w:sz w:val="20"/>
                <w:szCs w:val="20"/>
              </w:rPr>
              <w:t>1.04</w:t>
            </w:r>
          </w:p>
        </w:tc>
      </w:tr>
      <w:tr w:rsidR="005473CE" w:rsidRPr="008F00C9" w:rsidTr="0019180E">
        <w:trPr>
          <w:jc w:val="center"/>
        </w:trPr>
        <w:tc>
          <w:tcPr>
            <w:tcW w:w="0" w:type="auto"/>
          </w:tcPr>
          <w:p w:rsidR="005473CE" w:rsidRPr="008F00C9" w:rsidRDefault="008F00C9" w:rsidP="0019180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Public investment funds – i.e. </w:t>
            </w:r>
            <w:r w:rsidR="005473CE" w:rsidRPr="008F00C9">
              <w:rPr>
                <w:rFonts w:ascii="Times New Roman" w:hAnsi="Times New Roman" w:cs="Times New Roman"/>
                <w:sz w:val="20"/>
                <w:szCs w:val="20"/>
              </w:rPr>
              <w:t xml:space="preserve">Fondul </w:t>
            </w:r>
            <w:r w:rsidR="00D6455A" w:rsidRPr="008F00C9">
              <w:rPr>
                <w:rFonts w:ascii="Times New Roman" w:hAnsi="Times New Roman" w:cs="Times New Roman"/>
                <w:sz w:val="20"/>
                <w:szCs w:val="20"/>
              </w:rPr>
              <w:t>Propriet</w:t>
            </w:r>
            <w:r w:rsidR="00D6455A">
              <w:rPr>
                <w:rFonts w:ascii="Times New Roman" w:hAnsi="Times New Roman" w:cs="Times New Roman"/>
                <w:sz w:val="20"/>
                <w:szCs w:val="20"/>
              </w:rPr>
              <w:t>atea</w:t>
            </w:r>
          </w:p>
        </w:tc>
        <w:tc>
          <w:tcPr>
            <w:tcW w:w="0" w:type="auto"/>
          </w:tcPr>
          <w:p w:rsidR="005473CE" w:rsidRPr="008F00C9" w:rsidRDefault="005473CE" w:rsidP="0019180E">
            <w:pPr>
              <w:spacing w:after="0" w:line="240" w:lineRule="auto"/>
              <w:jc w:val="right"/>
              <w:rPr>
                <w:rFonts w:ascii="Times New Roman" w:hAnsi="Times New Roman" w:cs="Times New Roman"/>
                <w:sz w:val="20"/>
                <w:szCs w:val="20"/>
              </w:rPr>
            </w:pPr>
            <w:r w:rsidRPr="008F00C9">
              <w:rPr>
                <w:rFonts w:ascii="Times New Roman" w:hAnsi="Times New Roman" w:cs="Times New Roman"/>
                <w:sz w:val="20"/>
                <w:szCs w:val="20"/>
              </w:rPr>
              <w:t>2.89</w:t>
            </w:r>
          </w:p>
        </w:tc>
        <w:tc>
          <w:tcPr>
            <w:tcW w:w="0" w:type="auto"/>
          </w:tcPr>
          <w:p w:rsidR="005473CE" w:rsidRPr="008F00C9" w:rsidRDefault="005473CE" w:rsidP="0019180E">
            <w:pPr>
              <w:spacing w:after="0" w:line="240" w:lineRule="auto"/>
              <w:jc w:val="right"/>
              <w:rPr>
                <w:rFonts w:ascii="Times New Roman" w:hAnsi="Times New Roman" w:cs="Times New Roman"/>
                <w:sz w:val="20"/>
                <w:szCs w:val="20"/>
              </w:rPr>
            </w:pPr>
            <w:r w:rsidRPr="008F00C9">
              <w:rPr>
                <w:rFonts w:ascii="Times New Roman" w:hAnsi="Times New Roman" w:cs="Times New Roman"/>
                <w:sz w:val="20"/>
                <w:szCs w:val="20"/>
              </w:rPr>
              <w:t>2.57</w:t>
            </w:r>
          </w:p>
        </w:tc>
        <w:tc>
          <w:tcPr>
            <w:tcW w:w="0" w:type="auto"/>
          </w:tcPr>
          <w:p w:rsidR="005473CE" w:rsidRPr="008F00C9" w:rsidRDefault="005473CE" w:rsidP="0019180E">
            <w:pPr>
              <w:spacing w:after="0" w:line="240" w:lineRule="auto"/>
              <w:jc w:val="right"/>
              <w:rPr>
                <w:rFonts w:ascii="Times New Roman" w:hAnsi="Times New Roman" w:cs="Times New Roman"/>
                <w:sz w:val="20"/>
                <w:szCs w:val="20"/>
              </w:rPr>
            </w:pPr>
            <w:r w:rsidRPr="008F00C9">
              <w:rPr>
                <w:rFonts w:ascii="Times New Roman" w:hAnsi="Times New Roman" w:cs="Times New Roman"/>
                <w:sz w:val="20"/>
                <w:szCs w:val="20"/>
              </w:rPr>
              <w:t>2.52</w:t>
            </w:r>
          </w:p>
        </w:tc>
        <w:tc>
          <w:tcPr>
            <w:tcW w:w="0" w:type="auto"/>
          </w:tcPr>
          <w:p w:rsidR="005473CE" w:rsidRPr="008F00C9" w:rsidRDefault="005473CE" w:rsidP="0019180E">
            <w:pPr>
              <w:spacing w:after="0" w:line="240" w:lineRule="auto"/>
              <w:jc w:val="right"/>
              <w:rPr>
                <w:rFonts w:ascii="Times New Roman" w:hAnsi="Times New Roman" w:cs="Times New Roman"/>
                <w:sz w:val="20"/>
                <w:szCs w:val="20"/>
              </w:rPr>
            </w:pPr>
            <w:r w:rsidRPr="008F00C9">
              <w:rPr>
                <w:rFonts w:ascii="Times New Roman" w:hAnsi="Times New Roman" w:cs="Times New Roman"/>
                <w:sz w:val="20"/>
                <w:szCs w:val="20"/>
              </w:rPr>
              <w:t>2.36</w:t>
            </w:r>
          </w:p>
        </w:tc>
        <w:tc>
          <w:tcPr>
            <w:tcW w:w="0" w:type="auto"/>
          </w:tcPr>
          <w:p w:rsidR="005473CE" w:rsidRPr="008F00C9" w:rsidRDefault="005473CE" w:rsidP="0019180E">
            <w:pPr>
              <w:spacing w:after="0" w:line="240" w:lineRule="auto"/>
              <w:jc w:val="right"/>
              <w:rPr>
                <w:rFonts w:ascii="Times New Roman" w:hAnsi="Times New Roman" w:cs="Times New Roman"/>
                <w:sz w:val="20"/>
                <w:szCs w:val="20"/>
              </w:rPr>
            </w:pPr>
            <w:r w:rsidRPr="008F00C9">
              <w:rPr>
                <w:rFonts w:ascii="Times New Roman" w:hAnsi="Times New Roman" w:cs="Times New Roman"/>
                <w:sz w:val="20"/>
                <w:szCs w:val="20"/>
              </w:rPr>
              <w:t>1.99</w:t>
            </w:r>
          </w:p>
        </w:tc>
      </w:tr>
    </w:tbl>
    <w:p w:rsidR="005473CE" w:rsidRPr="008F00C9" w:rsidRDefault="005473CE" w:rsidP="005473CE">
      <w:pPr>
        <w:spacing w:after="120" w:line="360" w:lineRule="auto"/>
        <w:jc w:val="center"/>
        <w:rPr>
          <w:rFonts w:ascii="Times New Roman" w:hAnsi="Times New Roman" w:cs="Times New Roman"/>
          <w:sz w:val="20"/>
          <w:szCs w:val="20"/>
        </w:rPr>
      </w:pPr>
      <w:r w:rsidRPr="008F00C9">
        <w:rPr>
          <w:rFonts w:ascii="Times New Roman" w:hAnsi="Times New Roman" w:cs="Times New Roman"/>
          <w:sz w:val="20"/>
          <w:szCs w:val="20"/>
        </w:rPr>
        <w:t>S</w:t>
      </w:r>
      <w:r w:rsidR="004C614C" w:rsidRPr="008F00C9">
        <w:rPr>
          <w:rFonts w:ascii="Times New Roman" w:hAnsi="Times New Roman" w:cs="Times New Roman"/>
          <w:sz w:val="20"/>
          <w:szCs w:val="20"/>
        </w:rPr>
        <w:t>ource</w:t>
      </w:r>
      <w:r w:rsidRPr="008F00C9">
        <w:rPr>
          <w:rFonts w:ascii="Times New Roman" w:hAnsi="Times New Roman" w:cs="Times New Roman"/>
          <w:sz w:val="20"/>
          <w:szCs w:val="20"/>
        </w:rPr>
        <w:t xml:space="preserve">: </w:t>
      </w:r>
      <w:r w:rsidR="004C614C" w:rsidRPr="008F00C9">
        <w:rPr>
          <w:rFonts w:ascii="Times New Roman" w:hAnsi="Times New Roman" w:cs="Times New Roman"/>
          <w:sz w:val="20"/>
          <w:szCs w:val="20"/>
        </w:rPr>
        <w:t>author’s own calculations using</w:t>
      </w:r>
      <w:r w:rsidRPr="008F00C9">
        <w:rPr>
          <w:rFonts w:ascii="Times New Roman" w:hAnsi="Times New Roman" w:cs="Times New Roman"/>
          <w:sz w:val="20"/>
          <w:szCs w:val="20"/>
        </w:rPr>
        <w:t xml:space="preserve"> ASF </w:t>
      </w:r>
      <w:r w:rsidR="004C614C" w:rsidRPr="008F00C9">
        <w:rPr>
          <w:rFonts w:ascii="Times New Roman" w:hAnsi="Times New Roman" w:cs="Times New Roman"/>
          <w:sz w:val="20"/>
          <w:szCs w:val="20"/>
        </w:rPr>
        <w:t xml:space="preserve">data </w:t>
      </w:r>
      <w:r w:rsidRPr="008F00C9">
        <w:rPr>
          <w:rFonts w:ascii="Times New Roman" w:hAnsi="Times New Roman" w:cs="Times New Roman"/>
          <w:sz w:val="20"/>
          <w:szCs w:val="20"/>
        </w:rPr>
        <w:t xml:space="preserve">(2012, 2014) </w:t>
      </w:r>
      <w:r w:rsidR="004C614C" w:rsidRPr="008F00C9">
        <w:rPr>
          <w:rFonts w:ascii="Times New Roman" w:hAnsi="Times New Roman" w:cs="Times New Roman"/>
          <w:sz w:val="20"/>
          <w:szCs w:val="20"/>
        </w:rPr>
        <w:t>and</w:t>
      </w:r>
      <w:r w:rsidRPr="008F00C9">
        <w:rPr>
          <w:rFonts w:ascii="Times New Roman" w:hAnsi="Times New Roman" w:cs="Times New Roman"/>
          <w:sz w:val="20"/>
          <w:szCs w:val="20"/>
        </w:rPr>
        <w:t xml:space="preserve"> </w:t>
      </w:r>
      <w:hyperlink r:id="rId28" w:history="1">
        <w:r w:rsidRPr="008F00C9">
          <w:rPr>
            <w:rStyle w:val="Hyperlink"/>
            <w:rFonts w:ascii="Times New Roman" w:hAnsi="Times New Roman" w:cs="Times New Roman"/>
            <w:sz w:val="20"/>
            <w:szCs w:val="20"/>
          </w:rPr>
          <w:t>www.insse.ro</w:t>
        </w:r>
      </w:hyperlink>
    </w:p>
    <w:p w:rsidR="008F00C9" w:rsidRPr="008F00C9" w:rsidRDefault="008F00C9" w:rsidP="008F00C9">
      <w:pPr>
        <w:pStyle w:val="Caption"/>
        <w:spacing w:before="0" w:beforeAutospacing="0" w:after="120" w:afterAutospacing="0"/>
        <w:jc w:val="both"/>
      </w:pPr>
      <w:r w:rsidRPr="008F00C9">
        <w:t xml:space="preserve">This </w:t>
      </w:r>
      <w:r>
        <w:t>rising evolution</w:t>
      </w:r>
      <w:r w:rsidRPr="008F00C9">
        <w:t xml:space="preserve"> of </w:t>
      </w:r>
      <w:r>
        <w:t xml:space="preserve">the </w:t>
      </w:r>
      <w:r w:rsidRPr="008F00C9">
        <w:t>collecti</w:t>
      </w:r>
      <w:r>
        <w:t xml:space="preserve">ve investment </w:t>
      </w:r>
      <w:r w:rsidR="00D6455A" w:rsidRPr="008F00C9">
        <w:t>undertakings</w:t>
      </w:r>
      <w:r w:rsidRPr="008F00C9">
        <w:t xml:space="preserve"> </w:t>
      </w:r>
      <w:r>
        <w:t xml:space="preserve">is </w:t>
      </w:r>
      <w:r w:rsidRPr="008F00C9">
        <w:t xml:space="preserve">particularly due to the increase </w:t>
      </w:r>
      <w:r>
        <w:t>of</w:t>
      </w:r>
      <w:r w:rsidRPr="008F00C9">
        <w:t xml:space="preserve"> capital inflows and to the rise </w:t>
      </w:r>
      <w:r>
        <w:t xml:space="preserve">of </w:t>
      </w:r>
      <w:r w:rsidR="00D6455A">
        <w:t>investors’</w:t>
      </w:r>
      <w:r>
        <w:t xml:space="preserve"> number</w:t>
      </w:r>
      <w:r w:rsidRPr="008F00C9">
        <w:t>. During 2014</w:t>
      </w:r>
      <w:r w:rsidR="00D6455A">
        <w:t>,</w:t>
      </w:r>
      <w:r w:rsidRPr="008F00C9">
        <w:t xml:space="preserve"> closed funds and investment trusts had significant increases</w:t>
      </w:r>
      <w:r w:rsidR="00D6455A">
        <w:t xml:space="preserve"> in the value of total assets (40 %)</w:t>
      </w:r>
      <w:r w:rsidRPr="008F00C9">
        <w:t>, while the financial investment companies had a decrease in assets, w</w:t>
      </w:r>
      <w:r>
        <w:t xml:space="preserve">ith 2.4 % and </w:t>
      </w:r>
      <w:r w:rsidR="00D6455A">
        <w:t xml:space="preserve">respectively, </w:t>
      </w:r>
      <w:r>
        <w:t>11.8% (ASF 2014)</w:t>
      </w:r>
      <w:r w:rsidRPr="008F00C9">
        <w:t>.</w:t>
      </w:r>
    </w:p>
    <w:p w:rsidR="004C614C" w:rsidRPr="008F00C9" w:rsidRDefault="004C614C" w:rsidP="004C614C">
      <w:pPr>
        <w:pStyle w:val="Caption"/>
        <w:spacing w:before="0" w:beforeAutospacing="0" w:after="120" w:afterAutospacing="0"/>
        <w:jc w:val="both"/>
        <w:rPr>
          <w:rFonts w:ascii="inherit" w:hAnsi="inherit"/>
          <w:color w:val="212121"/>
        </w:rPr>
      </w:pPr>
      <w:r w:rsidRPr="008F00C9">
        <w:t xml:space="preserve">Last 4 years demonstrated that Romanian capital market has joined European competition, </w:t>
      </w:r>
      <w:r w:rsidRPr="008F00C9">
        <w:rPr>
          <w:rFonts w:ascii="inherit" w:hAnsi="inherit"/>
          <w:color w:val="212121"/>
        </w:rPr>
        <w:t xml:space="preserve">reducing the fragmentation of the market from regulatory institutions unification of entities active in the capital market under the FSA. At the same time, adapting national legislation to the European legislative framework has allowed the removal of discriminatory barriers between EU states, allowing access and authorization of foreign investment vehicles on the local market, while outsourcing national funds in the foreign market. </w:t>
      </w:r>
    </w:p>
    <w:p w:rsidR="004C614C" w:rsidRPr="008F00C9" w:rsidRDefault="004C614C" w:rsidP="004C614C">
      <w:pPr>
        <w:pStyle w:val="Caption"/>
        <w:spacing w:before="0" w:beforeAutospacing="0" w:after="120" w:afterAutospacing="0"/>
        <w:jc w:val="both"/>
      </w:pPr>
      <w:r w:rsidRPr="008F00C9">
        <w:rPr>
          <w:rFonts w:ascii="inherit" w:hAnsi="inherit"/>
          <w:color w:val="212121"/>
        </w:rPr>
        <w:t>We found that in the last period, the industry investment fund in Romania has registered a sustained rate of growth (both in the number of funds active in the market and the value of total assets managed by them), without being strongly affected by the contagion of latter economic crisis. Thus, despite the inconveniences arising on the global stock market in 2008, Romanian mutual funds recorded increases of over 86% up versus 2005 status, mainly due to rising capital inflows into equity and diversified funds.</w:t>
      </w:r>
    </w:p>
    <w:p w:rsidR="004C614C" w:rsidRPr="008F00C9" w:rsidRDefault="004C614C" w:rsidP="005473CE">
      <w:pPr>
        <w:pStyle w:val="Caption"/>
        <w:spacing w:before="0" w:beforeAutospacing="0" w:after="120" w:afterAutospacing="0"/>
        <w:jc w:val="both"/>
      </w:pPr>
    </w:p>
    <w:p w:rsidR="00B37277" w:rsidRPr="008F00C9" w:rsidRDefault="003D271A" w:rsidP="003D271A">
      <w:pPr>
        <w:pStyle w:val="Heading2"/>
        <w:rPr>
          <w:i/>
        </w:rPr>
      </w:pPr>
      <w:bookmarkStart w:id="14" w:name="_Toc452412565"/>
      <w:r w:rsidRPr="008F00C9">
        <w:rPr>
          <w:i/>
        </w:rPr>
        <w:t>Chapter 2. International context of Romanian Investment fund market</w:t>
      </w:r>
      <w:bookmarkEnd w:id="14"/>
    </w:p>
    <w:p w:rsidR="003D271A" w:rsidRPr="008F00C9" w:rsidRDefault="003D271A" w:rsidP="003D271A"/>
    <w:p w:rsidR="00651079" w:rsidRDefault="00A7406E" w:rsidP="00651079">
      <w:pPr>
        <w:pStyle w:val="Caption"/>
        <w:spacing w:before="0" w:beforeAutospacing="0" w:after="120" w:afterAutospacing="0"/>
        <w:jc w:val="both"/>
      </w:pPr>
      <w:r>
        <w:t>Within the second chapter the study outlines a comprehensive analysis on identifying the premises of Romanian investment funds market and on evaluating the competitive advantages offered by the domestic market in the context of globalization and European market’s consolidation within a single capital market.</w:t>
      </w:r>
    </w:p>
    <w:p w:rsidR="00A7406E" w:rsidRDefault="00A7406E" w:rsidP="00651079">
      <w:pPr>
        <w:pStyle w:val="Caption"/>
        <w:spacing w:before="0" w:beforeAutospacing="0" w:after="120" w:afterAutospacing="0"/>
        <w:jc w:val="both"/>
      </w:pPr>
      <w:r w:rsidRPr="00A7406E">
        <w:t>The results show that improving the attractiveness of mutual funds in Romania was outlined on account of the following aspects:</w:t>
      </w:r>
    </w:p>
    <w:p w:rsidR="00A7406E" w:rsidRPr="00A7406E" w:rsidRDefault="00A7406E" w:rsidP="00A7406E">
      <w:pPr>
        <w:pStyle w:val="ListParagraph"/>
        <w:numPr>
          <w:ilvl w:val="0"/>
          <w:numId w:val="8"/>
        </w:numPr>
        <w:tabs>
          <w:tab w:val="clear" w:pos="2160"/>
          <w:tab w:val="num" w:pos="709"/>
          <w:tab w:val="left" w:pos="851"/>
        </w:tabs>
        <w:autoSpaceDE w:val="0"/>
        <w:autoSpaceDN w:val="0"/>
        <w:adjustRightInd w:val="0"/>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the </w:t>
      </w:r>
      <w:r w:rsidRPr="00A7406E">
        <w:rPr>
          <w:rFonts w:ascii="Times New Roman" w:hAnsi="Times New Roman" w:cs="Times New Roman"/>
          <w:sz w:val="24"/>
          <w:szCs w:val="24"/>
        </w:rPr>
        <w:t xml:space="preserve">increase </w:t>
      </w:r>
      <w:r>
        <w:rPr>
          <w:rFonts w:ascii="Times New Roman" w:hAnsi="Times New Roman" w:cs="Times New Roman"/>
          <w:sz w:val="24"/>
          <w:szCs w:val="24"/>
        </w:rPr>
        <w:t>of</w:t>
      </w:r>
      <w:r w:rsidRPr="00A7406E">
        <w:rPr>
          <w:rFonts w:ascii="Times New Roman" w:hAnsi="Times New Roman" w:cs="Times New Roman"/>
          <w:sz w:val="24"/>
          <w:szCs w:val="24"/>
        </w:rPr>
        <w:t xml:space="preserve"> total </w:t>
      </w:r>
      <w:r>
        <w:rPr>
          <w:rFonts w:ascii="Times New Roman" w:hAnsi="Times New Roman" w:cs="Times New Roman"/>
          <w:sz w:val="24"/>
          <w:szCs w:val="24"/>
        </w:rPr>
        <w:t xml:space="preserve">net </w:t>
      </w:r>
      <w:r w:rsidRPr="00A7406E">
        <w:rPr>
          <w:rFonts w:ascii="Times New Roman" w:hAnsi="Times New Roman" w:cs="Times New Roman"/>
          <w:sz w:val="24"/>
          <w:szCs w:val="24"/>
        </w:rPr>
        <w:t xml:space="preserve">assets in 2014 </w:t>
      </w:r>
      <w:r w:rsidR="00C93EAC">
        <w:rPr>
          <w:rFonts w:ascii="Times New Roman" w:hAnsi="Times New Roman" w:cs="Times New Roman"/>
          <w:sz w:val="24"/>
          <w:szCs w:val="24"/>
        </w:rPr>
        <w:t>by 26.5</w:t>
      </w:r>
      <w:r w:rsidRPr="00A7406E">
        <w:rPr>
          <w:rFonts w:ascii="Times New Roman" w:hAnsi="Times New Roman" w:cs="Times New Roman"/>
          <w:sz w:val="24"/>
          <w:szCs w:val="24"/>
        </w:rPr>
        <w:t>% compared to 2013</w:t>
      </w:r>
      <w:r>
        <w:rPr>
          <w:rFonts w:ascii="Times New Roman" w:hAnsi="Times New Roman" w:cs="Times New Roman"/>
          <w:sz w:val="24"/>
          <w:szCs w:val="24"/>
        </w:rPr>
        <w:t>’s results</w:t>
      </w:r>
      <w:r w:rsidRPr="00A7406E">
        <w:rPr>
          <w:rFonts w:ascii="Times New Roman" w:hAnsi="Times New Roman" w:cs="Times New Roman"/>
          <w:sz w:val="24"/>
          <w:szCs w:val="24"/>
        </w:rPr>
        <w:t xml:space="preserve">, </w:t>
      </w:r>
      <w:r>
        <w:rPr>
          <w:rFonts w:ascii="Times New Roman" w:hAnsi="Times New Roman" w:cs="Times New Roman"/>
          <w:sz w:val="24"/>
          <w:szCs w:val="24"/>
        </w:rPr>
        <w:t xml:space="preserve">sets for </w:t>
      </w:r>
      <w:r w:rsidRPr="00A7406E">
        <w:rPr>
          <w:rFonts w:ascii="Times New Roman" w:hAnsi="Times New Roman" w:cs="Times New Roman"/>
          <w:sz w:val="24"/>
          <w:szCs w:val="24"/>
        </w:rPr>
        <w:t xml:space="preserve"> Romania the best</w:t>
      </w:r>
      <w:r>
        <w:rPr>
          <w:rFonts w:ascii="Times New Roman" w:hAnsi="Times New Roman" w:cs="Times New Roman"/>
          <w:sz w:val="24"/>
          <w:szCs w:val="24"/>
        </w:rPr>
        <w:t xml:space="preserve"> </w:t>
      </w:r>
      <w:r w:rsidRPr="00A7406E">
        <w:rPr>
          <w:rFonts w:ascii="Times New Roman" w:hAnsi="Times New Roman" w:cs="Times New Roman"/>
          <w:sz w:val="24"/>
          <w:szCs w:val="24"/>
        </w:rPr>
        <w:t xml:space="preserve">recorded results in </w:t>
      </w:r>
      <w:r>
        <w:rPr>
          <w:rFonts w:ascii="Times New Roman" w:hAnsi="Times New Roman" w:cs="Times New Roman"/>
          <w:sz w:val="24"/>
          <w:szCs w:val="24"/>
        </w:rPr>
        <w:t xml:space="preserve">the whole </w:t>
      </w:r>
      <w:r w:rsidRPr="00A7406E">
        <w:rPr>
          <w:rFonts w:ascii="Times New Roman" w:hAnsi="Times New Roman" w:cs="Times New Roman"/>
          <w:sz w:val="24"/>
          <w:szCs w:val="24"/>
        </w:rPr>
        <w:t xml:space="preserve">European industry. This result was obtained on behalf of </w:t>
      </w:r>
      <w:r w:rsidR="00C93EAC">
        <w:rPr>
          <w:rFonts w:ascii="Times New Roman" w:hAnsi="Times New Roman" w:cs="Times New Roman"/>
          <w:sz w:val="24"/>
          <w:szCs w:val="24"/>
        </w:rPr>
        <w:t>an</w:t>
      </w:r>
      <w:r w:rsidRPr="00A7406E">
        <w:rPr>
          <w:rFonts w:ascii="Times New Roman" w:hAnsi="Times New Roman" w:cs="Times New Roman"/>
          <w:sz w:val="24"/>
          <w:szCs w:val="24"/>
        </w:rPr>
        <w:t xml:space="preserve"> average growth rate of 11 percentage points above the average growth of the </w:t>
      </w:r>
      <w:r w:rsidR="00C93EAC">
        <w:rPr>
          <w:rFonts w:ascii="Times New Roman" w:hAnsi="Times New Roman" w:cs="Times New Roman"/>
          <w:sz w:val="24"/>
          <w:szCs w:val="24"/>
        </w:rPr>
        <w:t>entire market (15.7</w:t>
      </w:r>
      <w:r w:rsidRPr="00A7406E">
        <w:rPr>
          <w:rFonts w:ascii="Times New Roman" w:hAnsi="Times New Roman" w:cs="Times New Roman"/>
          <w:sz w:val="24"/>
          <w:szCs w:val="24"/>
        </w:rPr>
        <w:t xml:space="preserve">% and 16.3% for the category UCITS funds </w:t>
      </w:r>
      <w:r w:rsidR="00C93EAC">
        <w:rPr>
          <w:rFonts w:ascii="Times New Roman" w:hAnsi="Times New Roman" w:cs="Times New Roman"/>
          <w:sz w:val="24"/>
          <w:szCs w:val="24"/>
        </w:rPr>
        <w:t>and 14.3</w:t>
      </w:r>
      <w:r w:rsidRPr="00A7406E">
        <w:rPr>
          <w:rFonts w:ascii="Times New Roman" w:hAnsi="Times New Roman" w:cs="Times New Roman"/>
          <w:sz w:val="24"/>
          <w:szCs w:val="24"/>
        </w:rPr>
        <w:t xml:space="preserve">% for non </w:t>
      </w:r>
      <w:r w:rsidR="00C93EAC">
        <w:rPr>
          <w:rFonts w:ascii="Times New Roman" w:hAnsi="Times New Roman" w:cs="Times New Roman"/>
          <w:sz w:val="24"/>
          <w:szCs w:val="24"/>
        </w:rPr>
        <w:t>–</w:t>
      </w:r>
      <w:r w:rsidRPr="00A7406E">
        <w:rPr>
          <w:rFonts w:ascii="Times New Roman" w:hAnsi="Times New Roman" w:cs="Times New Roman"/>
          <w:sz w:val="24"/>
          <w:szCs w:val="24"/>
        </w:rPr>
        <w:t>UCITS</w:t>
      </w:r>
      <w:r w:rsidR="00C93EAC">
        <w:rPr>
          <w:rFonts w:ascii="Times New Roman" w:hAnsi="Times New Roman" w:cs="Times New Roman"/>
          <w:sz w:val="24"/>
          <w:szCs w:val="24"/>
        </w:rPr>
        <w:t xml:space="preserve"> category</w:t>
      </w:r>
      <w:r w:rsidRPr="00A7406E">
        <w:rPr>
          <w:rFonts w:ascii="Times New Roman" w:hAnsi="Times New Roman" w:cs="Times New Roman"/>
          <w:sz w:val="24"/>
          <w:szCs w:val="24"/>
        </w:rPr>
        <w:t>);</w:t>
      </w:r>
    </w:p>
    <w:p w:rsidR="00C93EAC" w:rsidRDefault="00C93EAC" w:rsidP="00C93EAC">
      <w:pPr>
        <w:pStyle w:val="ListParagraph"/>
        <w:numPr>
          <w:ilvl w:val="0"/>
          <w:numId w:val="8"/>
        </w:numPr>
        <w:tabs>
          <w:tab w:val="clear" w:pos="2160"/>
          <w:tab w:val="num" w:pos="709"/>
          <w:tab w:val="left" w:pos="851"/>
        </w:tabs>
        <w:autoSpaceDE w:val="0"/>
        <w:autoSpaceDN w:val="0"/>
        <w:adjustRightInd w:val="0"/>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dominance of the </w:t>
      </w:r>
      <w:r w:rsidRPr="00C93EAC">
        <w:rPr>
          <w:rFonts w:ascii="Times New Roman" w:hAnsi="Times New Roman" w:cs="Times New Roman"/>
          <w:sz w:val="24"/>
          <w:szCs w:val="24"/>
        </w:rPr>
        <w:t>European market with a 40% increase</w:t>
      </w:r>
      <w:r>
        <w:rPr>
          <w:rFonts w:ascii="Times New Roman" w:hAnsi="Times New Roman" w:cs="Times New Roman"/>
          <w:sz w:val="24"/>
          <w:szCs w:val="24"/>
        </w:rPr>
        <w:t xml:space="preserve"> in assets UCITS mutual funds (</w:t>
      </w:r>
      <w:r w:rsidRPr="00C93EAC">
        <w:rPr>
          <w:rFonts w:ascii="Times New Roman" w:hAnsi="Times New Roman" w:cs="Times New Roman"/>
          <w:sz w:val="24"/>
          <w:szCs w:val="24"/>
        </w:rPr>
        <w:t xml:space="preserve">from 2913 </w:t>
      </w:r>
      <w:r>
        <w:rPr>
          <w:rFonts w:ascii="Times New Roman" w:hAnsi="Times New Roman" w:cs="Times New Roman"/>
          <w:sz w:val="24"/>
          <w:szCs w:val="24"/>
        </w:rPr>
        <w:t>mil</w:t>
      </w:r>
      <w:r w:rsidRPr="00C93EAC">
        <w:rPr>
          <w:rFonts w:ascii="Times New Roman" w:hAnsi="Times New Roman" w:cs="Times New Roman"/>
          <w:sz w:val="24"/>
          <w:szCs w:val="24"/>
        </w:rPr>
        <w:t xml:space="preserve"> EUR </w:t>
      </w:r>
      <w:r>
        <w:rPr>
          <w:rFonts w:ascii="Times New Roman" w:hAnsi="Times New Roman" w:cs="Times New Roman"/>
          <w:sz w:val="24"/>
          <w:szCs w:val="24"/>
        </w:rPr>
        <w:t xml:space="preserve">in 2013, up to </w:t>
      </w:r>
      <w:r w:rsidRPr="00C93EAC">
        <w:rPr>
          <w:rFonts w:ascii="Times New Roman" w:hAnsi="Times New Roman" w:cs="Times New Roman"/>
          <w:sz w:val="24"/>
          <w:szCs w:val="24"/>
        </w:rPr>
        <w:t>4000</w:t>
      </w:r>
      <w:r>
        <w:rPr>
          <w:rFonts w:ascii="Times New Roman" w:hAnsi="Times New Roman" w:cs="Times New Roman"/>
          <w:sz w:val="24"/>
          <w:szCs w:val="24"/>
        </w:rPr>
        <w:t xml:space="preserve"> mil EUR 2014)</w:t>
      </w:r>
      <w:r w:rsidRPr="00C93EAC">
        <w:rPr>
          <w:rFonts w:ascii="Times New Roman" w:hAnsi="Times New Roman" w:cs="Times New Roman"/>
          <w:sz w:val="24"/>
          <w:szCs w:val="24"/>
        </w:rPr>
        <w:t xml:space="preserve">. This development is all the more remarkable as the national financial and banking intermediation contributed negatively to the </w:t>
      </w:r>
      <w:r w:rsidRPr="00C93EAC">
        <w:rPr>
          <w:rFonts w:ascii="Times New Roman" w:hAnsi="Times New Roman" w:cs="Times New Roman"/>
          <w:sz w:val="24"/>
          <w:szCs w:val="24"/>
        </w:rPr>
        <w:lastRenderedPageBreak/>
        <w:t>GDP</w:t>
      </w:r>
      <w:r>
        <w:rPr>
          <w:rFonts w:ascii="Times New Roman" w:hAnsi="Times New Roman" w:cs="Times New Roman"/>
          <w:sz w:val="24"/>
          <w:szCs w:val="24"/>
        </w:rPr>
        <w:t xml:space="preserve"> of Romania. Consequently, Romania’s market quote </w:t>
      </w:r>
      <w:r w:rsidRPr="00C93EAC">
        <w:rPr>
          <w:rFonts w:ascii="Times New Roman" w:hAnsi="Times New Roman" w:cs="Times New Roman"/>
          <w:sz w:val="24"/>
          <w:szCs w:val="24"/>
        </w:rPr>
        <w:t xml:space="preserve">came out </w:t>
      </w:r>
      <w:r>
        <w:rPr>
          <w:rFonts w:ascii="Times New Roman" w:hAnsi="Times New Roman" w:cs="Times New Roman"/>
          <w:sz w:val="24"/>
          <w:szCs w:val="24"/>
        </w:rPr>
        <w:t xml:space="preserve">of the </w:t>
      </w:r>
      <w:r w:rsidRPr="00C93EAC">
        <w:rPr>
          <w:rFonts w:ascii="Times New Roman" w:hAnsi="Times New Roman" w:cs="Times New Roman"/>
          <w:sz w:val="24"/>
          <w:szCs w:val="24"/>
        </w:rPr>
        <w:t xml:space="preserve">6 </w:t>
      </w:r>
      <w:r>
        <w:rPr>
          <w:rFonts w:ascii="Times New Roman" w:hAnsi="Times New Roman" w:cs="Times New Roman"/>
          <w:sz w:val="24"/>
          <w:szCs w:val="24"/>
        </w:rPr>
        <w:t>Eastern European countries with a share of 0.0% (Slovenia, Slovakia</w:t>
      </w:r>
      <w:r w:rsidRPr="00C93EAC">
        <w:rPr>
          <w:rFonts w:ascii="Times New Roman" w:hAnsi="Times New Roman" w:cs="Times New Roman"/>
          <w:sz w:val="24"/>
          <w:szCs w:val="24"/>
        </w:rPr>
        <w:t xml:space="preserve">, Bulgaria and Croatia), increasing the threshold </w:t>
      </w:r>
      <w:r>
        <w:rPr>
          <w:rFonts w:ascii="Times New Roman" w:hAnsi="Times New Roman" w:cs="Times New Roman"/>
          <w:sz w:val="24"/>
          <w:szCs w:val="24"/>
        </w:rPr>
        <w:t>to the medium level</w:t>
      </w:r>
      <w:r w:rsidRPr="00C93EAC">
        <w:rPr>
          <w:rFonts w:ascii="Times New Roman" w:hAnsi="Times New Roman" w:cs="Times New Roman"/>
          <w:sz w:val="24"/>
          <w:szCs w:val="24"/>
        </w:rPr>
        <w:t xml:space="preserve"> markets </w:t>
      </w:r>
      <w:r>
        <w:rPr>
          <w:rFonts w:ascii="Times New Roman" w:hAnsi="Times New Roman" w:cs="Times New Roman"/>
          <w:sz w:val="24"/>
          <w:szCs w:val="24"/>
        </w:rPr>
        <w:t>–i.e.</w:t>
      </w:r>
      <w:r w:rsidRPr="00C93EAC">
        <w:rPr>
          <w:rFonts w:ascii="Times New Roman" w:hAnsi="Times New Roman" w:cs="Times New Roman"/>
          <w:sz w:val="24"/>
          <w:szCs w:val="24"/>
        </w:rPr>
        <w:t xml:space="preserve"> </w:t>
      </w:r>
      <w:r>
        <w:rPr>
          <w:rFonts w:ascii="Times New Roman" w:hAnsi="Times New Roman" w:cs="Times New Roman"/>
          <w:sz w:val="24"/>
          <w:szCs w:val="24"/>
        </w:rPr>
        <w:t>those with a</w:t>
      </w:r>
      <w:r w:rsidRPr="00C93EAC">
        <w:rPr>
          <w:rFonts w:ascii="Times New Roman" w:hAnsi="Times New Roman" w:cs="Times New Roman"/>
          <w:sz w:val="24"/>
          <w:szCs w:val="24"/>
        </w:rPr>
        <w:t xml:space="preserve"> </w:t>
      </w:r>
      <w:r>
        <w:rPr>
          <w:rFonts w:ascii="Times New Roman" w:hAnsi="Times New Roman" w:cs="Times New Roman"/>
          <w:sz w:val="24"/>
          <w:szCs w:val="24"/>
        </w:rPr>
        <w:t xml:space="preserve">share of the European </w:t>
      </w:r>
      <w:r w:rsidRPr="00C93EAC">
        <w:rPr>
          <w:rFonts w:ascii="Times New Roman" w:hAnsi="Times New Roman" w:cs="Times New Roman"/>
          <w:sz w:val="24"/>
          <w:szCs w:val="24"/>
        </w:rPr>
        <w:t xml:space="preserve">GDP </w:t>
      </w:r>
      <w:r>
        <w:rPr>
          <w:rFonts w:ascii="Times New Roman" w:hAnsi="Times New Roman" w:cs="Times New Roman"/>
          <w:sz w:val="24"/>
          <w:szCs w:val="24"/>
        </w:rPr>
        <w:t>at around 0.1% (Czech Republic, Greece, Liechtenstein, Malta, Turkey)</w:t>
      </w:r>
      <w:r w:rsidRPr="00C93EAC">
        <w:rPr>
          <w:rFonts w:ascii="Times New Roman" w:hAnsi="Times New Roman" w:cs="Times New Roman"/>
          <w:sz w:val="24"/>
          <w:szCs w:val="24"/>
        </w:rPr>
        <w:t xml:space="preserve">, and </w:t>
      </w:r>
      <w:r>
        <w:rPr>
          <w:rFonts w:ascii="Times New Roman" w:hAnsi="Times New Roman" w:cs="Times New Roman"/>
          <w:sz w:val="24"/>
          <w:szCs w:val="24"/>
        </w:rPr>
        <w:t xml:space="preserve">having </w:t>
      </w:r>
      <w:r w:rsidRPr="00C93EAC">
        <w:rPr>
          <w:rFonts w:ascii="Times New Roman" w:hAnsi="Times New Roman" w:cs="Times New Roman"/>
          <w:sz w:val="24"/>
          <w:szCs w:val="24"/>
        </w:rPr>
        <w:t>the next target positions occupied b</w:t>
      </w:r>
      <w:r>
        <w:rPr>
          <w:rFonts w:ascii="Times New Roman" w:hAnsi="Times New Roman" w:cs="Times New Roman"/>
          <w:sz w:val="24"/>
          <w:szCs w:val="24"/>
        </w:rPr>
        <w:t>y Portugal and Hungary by 0.2 %, respectively Poland with 0.4%</w:t>
      </w:r>
      <w:r w:rsidRPr="00C93EAC">
        <w:rPr>
          <w:rFonts w:ascii="Times New Roman" w:hAnsi="Times New Roman" w:cs="Times New Roman"/>
          <w:sz w:val="24"/>
          <w:szCs w:val="24"/>
        </w:rPr>
        <w:t>;</w:t>
      </w:r>
    </w:p>
    <w:p w:rsidR="00672B9C" w:rsidRDefault="00C93EAC" w:rsidP="00672B9C">
      <w:pPr>
        <w:pStyle w:val="ListParagraph"/>
        <w:numPr>
          <w:ilvl w:val="0"/>
          <w:numId w:val="8"/>
        </w:numPr>
        <w:tabs>
          <w:tab w:val="clear" w:pos="2160"/>
          <w:tab w:val="num" w:pos="709"/>
          <w:tab w:val="left" w:pos="851"/>
        </w:tabs>
        <w:autoSpaceDE w:val="0"/>
        <w:autoSpaceDN w:val="0"/>
        <w:adjustRightInd w:val="0"/>
        <w:spacing w:after="120" w:line="240" w:lineRule="auto"/>
        <w:ind w:left="0" w:firstLine="567"/>
        <w:jc w:val="both"/>
        <w:rPr>
          <w:rFonts w:ascii="Times New Roman" w:hAnsi="Times New Roman" w:cs="Times New Roman"/>
          <w:noProof/>
          <w:sz w:val="24"/>
          <w:szCs w:val="24"/>
        </w:rPr>
      </w:pPr>
      <w:r>
        <w:rPr>
          <w:rFonts w:ascii="Times New Roman" w:hAnsi="Times New Roman" w:cs="Times New Roman"/>
          <w:sz w:val="24"/>
          <w:szCs w:val="24"/>
        </w:rPr>
        <w:t xml:space="preserve"> </w:t>
      </w:r>
      <w:r w:rsidRPr="00C93EAC">
        <w:rPr>
          <w:rFonts w:ascii="Times New Roman" w:hAnsi="Times New Roman" w:cs="Times New Roman"/>
          <w:sz w:val="24"/>
          <w:szCs w:val="24"/>
        </w:rPr>
        <w:t>during the financial crisi</w:t>
      </w:r>
      <w:r>
        <w:rPr>
          <w:rFonts w:ascii="Times New Roman" w:hAnsi="Times New Roman" w:cs="Times New Roman"/>
          <w:sz w:val="24"/>
          <w:szCs w:val="24"/>
        </w:rPr>
        <w:t>s</w:t>
      </w:r>
      <w:r w:rsidRPr="00C93EAC">
        <w:rPr>
          <w:rFonts w:ascii="Times New Roman" w:hAnsi="Times New Roman" w:cs="Times New Roman"/>
          <w:sz w:val="24"/>
          <w:szCs w:val="24"/>
        </w:rPr>
        <w:t xml:space="preserve">, </w:t>
      </w:r>
      <w:r>
        <w:rPr>
          <w:rFonts w:ascii="Times New Roman" w:hAnsi="Times New Roman" w:cs="Times New Roman"/>
          <w:sz w:val="24"/>
          <w:szCs w:val="24"/>
        </w:rPr>
        <w:t xml:space="preserve">the Romanian </w:t>
      </w:r>
      <w:r w:rsidRPr="00C93EAC">
        <w:rPr>
          <w:rFonts w:ascii="Times New Roman" w:hAnsi="Times New Roman" w:cs="Times New Roman"/>
          <w:sz w:val="24"/>
          <w:szCs w:val="24"/>
        </w:rPr>
        <w:t xml:space="preserve">collective investment undertakings </w:t>
      </w:r>
      <w:r>
        <w:rPr>
          <w:rFonts w:ascii="Times New Roman" w:hAnsi="Times New Roman" w:cs="Times New Roman"/>
          <w:sz w:val="24"/>
          <w:szCs w:val="24"/>
        </w:rPr>
        <w:t>had an atypical trend i.e.</w:t>
      </w:r>
      <w:r w:rsidRPr="00C93EAC">
        <w:rPr>
          <w:rFonts w:ascii="Times New Roman" w:hAnsi="Times New Roman" w:cs="Times New Roman"/>
          <w:sz w:val="24"/>
          <w:szCs w:val="24"/>
        </w:rPr>
        <w:t xml:space="preserve"> concentrating on the </w:t>
      </w:r>
      <w:r>
        <w:rPr>
          <w:rFonts w:ascii="Times New Roman" w:hAnsi="Times New Roman" w:cs="Times New Roman"/>
          <w:sz w:val="24"/>
          <w:szCs w:val="24"/>
        </w:rPr>
        <w:t>frontier markets, therefore including Romania</w:t>
      </w:r>
      <w:r w:rsidRPr="00C93EAC">
        <w:rPr>
          <w:rFonts w:ascii="Times New Roman" w:hAnsi="Times New Roman" w:cs="Times New Roman"/>
          <w:sz w:val="24"/>
          <w:szCs w:val="24"/>
        </w:rPr>
        <w:t xml:space="preserve">. </w:t>
      </w:r>
      <w:r>
        <w:rPr>
          <w:rFonts w:ascii="Times New Roman" w:hAnsi="Times New Roman" w:cs="Times New Roman"/>
          <w:sz w:val="24"/>
          <w:szCs w:val="24"/>
        </w:rPr>
        <w:t>As a result, the Romanian market took this advantage and c</w:t>
      </w:r>
      <w:r w:rsidRPr="00C93EAC">
        <w:rPr>
          <w:rFonts w:ascii="Times New Roman" w:hAnsi="Times New Roman" w:cs="Times New Roman"/>
          <w:sz w:val="24"/>
          <w:szCs w:val="24"/>
        </w:rPr>
        <w:t>oncentrated gradually towards monetary and bond funds</w:t>
      </w:r>
      <w:r w:rsidR="00672B9C">
        <w:rPr>
          <w:rFonts w:ascii="Times New Roman" w:hAnsi="Times New Roman" w:cs="Times New Roman"/>
          <w:sz w:val="24"/>
          <w:szCs w:val="24"/>
        </w:rPr>
        <w:t>,</w:t>
      </w:r>
      <w:r w:rsidRPr="00C93EAC">
        <w:rPr>
          <w:rFonts w:ascii="Times New Roman" w:hAnsi="Times New Roman" w:cs="Times New Roman"/>
          <w:sz w:val="24"/>
          <w:szCs w:val="24"/>
        </w:rPr>
        <w:t xml:space="preserve"> </w:t>
      </w:r>
      <w:r w:rsidR="00672B9C">
        <w:rPr>
          <w:rFonts w:ascii="Times New Roman" w:hAnsi="Times New Roman" w:cs="Times New Roman"/>
          <w:sz w:val="24"/>
          <w:szCs w:val="24"/>
        </w:rPr>
        <w:t>shifting their quotes from 59.36</w:t>
      </w:r>
      <w:r w:rsidR="00672B9C" w:rsidRPr="00C93EAC">
        <w:rPr>
          <w:rFonts w:ascii="Times New Roman" w:hAnsi="Times New Roman" w:cs="Times New Roman"/>
          <w:sz w:val="24"/>
          <w:szCs w:val="24"/>
        </w:rPr>
        <w:t xml:space="preserve">% </w:t>
      </w:r>
      <w:r w:rsidR="00672B9C">
        <w:rPr>
          <w:rFonts w:ascii="Times New Roman" w:hAnsi="Times New Roman" w:cs="Times New Roman"/>
          <w:sz w:val="24"/>
          <w:szCs w:val="24"/>
        </w:rPr>
        <w:t>in 2009-2010 to</w:t>
      </w:r>
      <w:r w:rsidRPr="00C93EAC">
        <w:rPr>
          <w:rFonts w:ascii="Times New Roman" w:hAnsi="Times New Roman" w:cs="Times New Roman"/>
          <w:sz w:val="24"/>
          <w:szCs w:val="24"/>
        </w:rPr>
        <w:t xml:space="preserve"> 21.39% of the </w:t>
      </w:r>
      <w:r w:rsidR="00672B9C">
        <w:rPr>
          <w:rFonts w:ascii="Times New Roman" w:hAnsi="Times New Roman" w:cs="Times New Roman"/>
          <w:sz w:val="24"/>
          <w:szCs w:val="24"/>
        </w:rPr>
        <w:t xml:space="preserve">mutual </w:t>
      </w:r>
      <w:r w:rsidRPr="00C93EAC">
        <w:rPr>
          <w:rFonts w:ascii="Times New Roman" w:hAnsi="Times New Roman" w:cs="Times New Roman"/>
          <w:sz w:val="24"/>
          <w:szCs w:val="24"/>
        </w:rPr>
        <w:t xml:space="preserve">fund market. </w:t>
      </w:r>
    </w:p>
    <w:p w:rsidR="00672B9C" w:rsidRDefault="00672B9C" w:rsidP="00672B9C">
      <w:pPr>
        <w:tabs>
          <w:tab w:val="left" w:pos="851"/>
        </w:tabs>
        <w:autoSpaceDE w:val="0"/>
        <w:autoSpaceDN w:val="0"/>
        <w:adjustRightInd w:val="0"/>
        <w:spacing w:after="120" w:line="240" w:lineRule="auto"/>
        <w:jc w:val="both"/>
        <w:rPr>
          <w:rFonts w:ascii="Times New Roman" w:hAnsi="Times New Roman" w:cs="Times New Roman"/>
          <w:noProof/>
          <w:sz w:val="24"/>
          <w:szCs w:val="24"/>
        </w:rPr>
      </w:pPr>
      <w:r w:rsidRPr="00672B9C">
        <w:rPr>
          <w:rFonts w:ascii="Times New Roman" w:hAnsi="Times New Roman" w:cs="Times New Roman"/>
          <w:noProof/>
          <w:sz w:val="24"/>
          <w:szCs w:val="24"/>
        </w:rPr>
        <w:t>Passed through two major crises that have damaged investor confidence (first in 1994 with the collapse FMOA and second in 2000 with the collapse FNI</w:t>
      </w:r>
      <w:r>
        <w:rPr>
          <w:rFonts w:ascii="Times New Roman" w:hAnsi="Times New Roman" w:cs="Times New Roman"/>
          <w:noProof/>
          <w:sz w:val="24"/>
          <w:szCs w:val="24"/>
        </w:rPr>
        <w:t>)</w:t>
      </w:r>
      <w:r w:rsidRPr="00672B9C">
        <w:rPr>
          <w:rFonts w:ascii="Times New Roman" w:hAnsi="Times New Roman" w:cs="Times New Roman"/>
          <w:noProof/>
          <w:sz w:val="24"/>
          <w:szCs w:val="24"/>
        </w:rPr>
        <w:t xml:space="preserve">, </w:t>
      </w:r>
      <w:r>
        <w:rPr>
          <w:rFonts w:ascii="Times New Roman" w:hAnsi="Times New Roman" w:cs="Times New Roman"/>
          <w:noProof/>
          <w:sz w:val="24"/>
          <w:szCs w:val="24"/>
        </w:rPr>
        <w:t>Romanian investment funds</w:t>
      </w:r>
      <w:r w:rsidRPr="00672B9C">
        <w:rPr>
          <w:rFonts w:ascii="Times New Roman" w:hAnsi="Times New Roman" w:cs="Times New Roman"/>
          <w:noProof/>
          <w:sz w:val="24"/>
          <w:szCs w:val="24"/>
        </w:rPr>
        <w:t xml:space="preserve"> </w:t>
      </w:r>
      <w:r>
        <w:rPr>
          <w:rFonts w:ascii="Times New Roman" w:hAnsi="Times New Roman" w:cs="Times New Roman"/>
          <w:noProof/>
          <w:sz w:val="24"/>
          <w:szCs w:val="24"/>
        </w:rPr>
        <w:t>faced</w:t>
      </w:r>
      <w:r w:rsidRPr="00672B9C">
        <w:rPr>
          <w:rFonts w:ascii="Times New Roman" w:hAnsi="Times New Roman" w:cs="Times New Roman"/>
          <w:noProof/>
          <w:sz w:val="24"/>
          <w:szCs w:val="24"/>
        </w:rPr>
        <w:t xml:space="preserve"> a quite difficult battle to build </w:t>
      </w:r>
      <w:r>
        <w:rPr>
          <w:rFonts w:ascii="Times New Roman" w:hAnsi="Times New Roman" w:cs="Times New Roman"/>
          <w:noProof/>
          <w:sz w:val="24"/>
          <w:szCs w:val="24"/>
        </w:rPr>
        <w:t xml:space="preserve">up again the </w:t>
      </w:r>
      <w:r w:rsidRPr="00672B9C">
        <w:rPr>
          <w:rFonts w:ascii="Times New Roman" w:hAnsi="Times New Roman" w:cs="Times New Roman"/>
          <w:noProof/>
          <w:sz w:val="24"/>
          <w:szCs w:val="24"/>
        </w:rPr>
        <w:t>investors</w:t>
      </w:r>
      <w:r>
        <w:rPr>
          <w:rFonts w:ascii="Times New Roman" w:hAnsi="Times New Roman" w:cs="Times New Roman"/>
          <w:noProof/>
          <w:sz w:val="24"/>
          <w:szCs w:val="24"/>
        </w:rPr>
        <w:t>’ confidence ( Moroşan Gh., 2009)</w:t>
      </w:r>
      <w:r w:rsidRPr="00672B9C">
        <w:rPr>
          <w:rFonts w:ascii="Times New Roman" w:hAnsi="Times New Roman" w:cs="Times New Roman"/>
          <w:noProof/>
          <w:sz w:val="24"/>
          <w:szCs w:val="24"/>
        </w:rPr>
        <w:t>.</w:t>
      </w:r>
    </w:p>
    <w:p w:rsidR="00672B9C" w:rsidRDefault="00672B9C" w:rsidP="00672B9C">
      <w:pPr>
        <w:tabs>
          <w:tab w:val="left" w:pos="851"/>
        </w:tabs>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However, starting with 2005, the attractiveness of Romanian investment fund market has increased surprisingly and since then, the investors’ number is </w:t>
      </w:r>
      <w:r w:rsidRPr="00672B9C">
        <w:rPr>
          <w:rFonts w:ascii="Times New Roman" w:hAnsi="Times New Roman" w:cs="Times New Roman"/>
          <w:noProof/>
          <w:spacing w:val="-4"/>
          <w:sz w:val="24"/>
          <w:szCs w:val="24"/>
        </w:rPr>
        <w:t xml:space="preserve">changing annually, with an annual average </w:t>
      </w:r>
      <w:r>
        <w:rPr>
          <w:rFonts w:ascii="Times New Roman" w:hAnsi="Times New Roman" w:cs="Times New Roman"/>
          <w:noProof/>
          <w:spacing w:val="-4"/>
          <w:sz w:val="24"/>
          <w:szCs w:val="24"/>
        </w:rPr>
        <w:t>growth of 39.71%</w:t>
      </w:r>
      <w:r w:rsidRPr="00672B9C">
        <w:rPr>
          <w:rFonts w:ascii="Times New Roman" w:hAnsi="Times New Roman" w:cs="Times New Roman"/>
          <w:noProof/>
          <w:spacing w:val="-4"/>
          <w:sz w:val="24"/>
          <w:szCs w:val="24"/>
        </w:rPr>
        <w:t xml:space="preserve">, corresponding to </w:t>
      </w:r>
      <w:r>
        <w:rPr>
          <w:rFonts w:ascii="Times New Roman" w:hAnsi="Times New Roman" w:cs="Times New Roman"/>
          <w:noProof/>
          <w:spacing w:val="-4"/>
          <w:sz w:val="24"/>
          <w:szCs w:val="24"/>
        </w:rPr>
        <w:t>a</w:t>
      </w:r>
      <w:r w:rsidRPr="00672B9C">
        <w:rPr>
          <w:rFonts w:ascii="Times New Roman" w:hAnsi="Times New Roman" w:cs="Times New Roman"/>
          <w:noProof/>
          <w:spacing w:val="-4"/>
          <w:sz w:val="24"/>
          <w:szCs w:val="24"/>
        </w:rPr>
        <w:t xml:space="preserve"> 4 times </w:t>
      </w:r>
      <w:r>
        <w:rPr>
          <w:rFonts w:ascii="Times New Roman" w:hAnsi="Times New Roman" w:cs="Times New Roman"/>
          <w:noProof/>
          <w:spacing w:val="-4"/>
          <w:sz w:val="24"/>
          <w:szCs w:val="24"/>
        </w:rPr>
        <w:t>increase over the last</w:t>
      </w:r>
      <w:r w:rsidRPr="00672B9C">
        <w:rPr>
          <w:rFonts w:ascii="Times New Roman" w:hAnsi="Times New Roman" w:cs="Times New Roman"/>
          <w:noProof/>
          <w:spacing w:val="-4"/>
          <w:sz w:val="24"/>
          <w:szCs w:val="24"/>
        </w:rPr>
        <w:t xml:space="preserve"> 10 years </w:t>
      </w:r>
      <w:r>
        <w:rPr>
          <w:rFonts w:ascii="Times New Roman" w:hAnsi="Times New Roman" w:cs="Times New Roman"/>
          <w:noProof/>
          <w:spacing w:val="-4"/>
          <w:sz w:val="24"/>
          <w:szCs w:val="24"/>
        </w:rPr>
        <w:t xml:space="preserve">(Chart 2.1). </w:t>
      </w:r>
    </w:p>
    <w:p w:rsidR="00257F3E" w:rsidRPr="008F00C9" w:rsidRDefault="00672B9C" w:rsidP="00257F3E">
      <w:pPr>
        <w:pStyle w:val="Caption"/>
        <w:spacing w:before="0" w:beforeAutospacing="0" w:after="0" w:afterAutospacing="0"/>
        <w:jc w:val="center"/>
        <w:rPr>
          <w:b/>
          <w:sz w:val="20"/>
          <w:szCs w:val="20"/>
        </w:rPr>
      </w:pPr>
      <w:bookmarkStart w:id="15" w:name="_Toc449385041"/>
      <w:r>
        <w:rPr>
          <w:b/>
          <w:sz w:val="20"/>
          <w:szCs w:val="20"/>
        </w:rPr>
        <w:t>Chart</w:t>
      </w:r>
      <w:r w:rsidR="00257F3E" w:rsidRPr="008F00C9">
        <w:rPr>
          <w:b/>
          <w:sz w:val="20"/>
          <w:szCs w:val="20"/>
        </w:rPr>
        <w:t xml:space="preserve"> 2. </w:t>
      </w:r>
      <w:r w:rsidR="004B4616" w:rsidRPr="008F00C9">
        <w:rPr>
          <w:b/>
          <w:sz w:val="20"/>
          <w:szCs w:val="20"/>
        </w:rPr>
        <w:fldChar w:fldCharType="begin"/>
      </w:r>
      <w:r w:rsidR="00257F3E" w:rsidRPr="008F00C9">
        <w:rPr>
          <w:b/>
          <w:sz w:val="20"/>
          <w:szCs w:val="20"/>
        </w:rPr>
        <w:instrText xml:space="preserve"> SEQ Grafic_2. \* ARABIC </w:instrText>
      </w:r>
      <w:r w:rsidR="004B4616" w:rsidRPr="008F00C9">
        <w:rPr>
          <w:b/>
          <w:sz w:val="20"/>
          <w:szCs w:val="20"/>
        </w:rPr>
        <w:fldChar w:fldCharType="separate"/>
      </w:r>
      <w:r w:rsidR="00257F3E" w:rsidRPr="008F00C9">
        <w:rPr>
          <w:b/>
          <w:noProof/>
          <w:sz w:val="20"/>
          <w:szCs w:val="20"/>
        </w:rPr>
        <w:t>1</w:t>
      </w:r>
      <w:r w:rsidR="004B4616" w:rsidRPr="008F00C9">
        <w:rPr>
          <w:b/>
          <w:sz w:val="20"/>
          <w:szCs w:val="20"/>
        </w:rPr>
        <w:fldChar w:fldCharType="end"/>
      </w:r>
      <w:r w:rsidR="00257F3E" w:rsidRPr="008F00C9">
        <w:rPr>
          <w:b/>
          <w:sz w:val="20"/>
          <w:szCs w:val="20"/>
        </w:rPr>
        <w:t xml:space="preserve"> </w:t>
      </w:r>
      <w:r>
        <w:rPr>
          <w:b/>
          <w:sz w:val="20"/>
          <w:szCs w:val="20"/>
        </w:rPr>
        <w:t>Total net asset and investment funds number evolution in</w:t>
      </w:r>
      <w:r w:rsidR="00257F3E" w:rsidRPr="008F00C9">
        <w:rPr>
          <w:b/>
          <w:sz w:val="20"/>
          <w:szCs w:val="20"/>
        </w:rPr>
        <w:t xml:space="preserve"> România</w:t>
      </w:r>
      <w:bookmarkEnd w:id="15"/>
      <w:r>
        <w:rPr>
          <w:b/>
          <w:sz w:val="20"/>
          <w:szCs w:val="20"/>
        </w:rPr>
        <w:t xml:space="preserve"> during last 10 years</w:t>
      </w:r>
    </w:p>
    <w:p w:rsidR="00257F3E" w:rsidRPr="008F00C9" w:rsidRDefault="00257F3E" w:rsidP="00257F3E">
      <w:pPr>
        <w:spacing w:after="0" w:line="240" w:lineRule="auto"/>
        <w:jc w:val="center"/>
        <w:rPr>
          <w:rFonts w:ascii="Times New Roman" w:hAnsi="Times New Roman" w:cs="Times New Roman"/>
          <w:sz w:val="20"/>
          <w:szCs w:val="20"/>
        </w:rPr>
      </w:pPr>
      <w:r w:rsidRPr="008F00C9">
        <w:rPr>
          <w:noProof/>
          <w:sz w:val="20"/>
          <w:szCs w:val="20"/>
        </w:rPr>
        <w:drawing>
          <wp:inline distT="0" distB="0" distL="0" distR="0">
            <wp:extent cx="4667250" cy="2124075"/>
            <wp:effectExtent l="19050" t="0" r="0" b="0"/>
            <wp:docPr id="7"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672564" cy="2126493"/>
                    </a:xfrm>
                    <a:prstGeom prst="rect">
                      <a:avLst/>
                    </a:prstGeom>
                  </pic:spPr>
                </pic:pic>
              </a:graphicData>
            </a:graphic>
          </wp:inline>
        </w:drawing>
      </w:r>
    </w:p>
    <w:p w:rsidR="00257F3E" w:rsidRPr="008F00C9" w:rsidRDefault="00672B9C" w:rsidP="00257F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Source</w:t>
      </w:r>
      <w:r w:rsidR="00257F3E" w:rsidRPr="008F00C9">
        <w:rPr>
          <w:rFonts w:ascii="Times New Roman" w:hAnsi="Times New Roman" w:cs="Times New Roman"/>
          <w:sz w:val="20"/>
          <w:szCs w:val="20"/>
        </w:rPr>
        <w:t xml:space="preserve">: </w:t>
      </w:r>
      <w:r>
        <w:rPr>
          <w:rFonts w:ascii="Times New Roman" w:hAnsi="Times New Roman" w:cs="Times New Roman"/>
          <w:sz w:val="20"/>
          <w:szCs w:val="20"/>
        </w:rPr>
        <w:t>authors own calculations using</w:t>
      </w:r>
      <w:r w:rsidR="00257F3E" w:rsidRPr="008F00C9">
        <w:rPr>
          <w:rFonts w:ascii="Times New Roman" w:hAnsi="Times New Roman" w:cs="Times New Roman"/>
          <w:sz w:val="20"/>
          <w:szCs w:val="20"/>
        </w:rPr>
        <w:t xml:space="preserve"> AAF</w:t>
      </w:r>
      <w:r>
        <w:rPr>
          <w:rFonts w:ascii="Times New Roman" w:hAnsi="Times New Roman" w:cs="Times New Roman"/>
          <w:sz w:val="20"/>
          <w:szCs w:val="20"/>
        </w:rPr>
        <w:t xml:space="preserve"> data</w:t>
      </w:r>
    </w:p>
    <w:p w:rsidR="00257F3E" w:rsidRDefault="00257F3E" w:rsidP="00EA0194">
      <w:pPr>
        <w:spacing w:after="120" w:line="240" w:lineRule="auto"/>
        <w:jc w:val="both"/>
        <w:rPr>
          <w:rFonts w:ascii="Times New Roman" w:hAnsi="Times New Roman" w:cs="Times New Roman"/>
          <w:noProof/>
          <w:spacing w:val="-4"/>
          <w:sz w:val="24"/>
          <w:szCs w:val="24"/>
        </w:rPr>
      </w:pPr>
    </w:p>
    <w:p w:rsidR="009827AA" w:rsidRDefault="009827AA" w:rsidP="009827AA">
      <w:pPr>
        <w:spacing w:after="120" w:line="240" w:lineRule="auto"/>
        <w:jc w:val="both"/>
        <w:rPr>
          <w:rFonts w:ascii="Times New Roman" w:hAnsi="Times New Roman" w:cs="Times New Roman"/>
          <w:noProof/>
          <w:sz w:val="24"/>
          <w:szCs w:val="24"/>
        </w:rPr>
      </w:pPr>
      <w:r w:rsidRPr="009827AA">
        <w:rPr>
          <w:rFonts w:ascii="Times New Roman" w:hAnsi="Times New Roman" w:cs="Times New Roman"/>
          <w:noProof/>
          <w:sz w:val="24"/>
          <w:szCs w:val="24"/>
        </w:rPr>
        <w:t>Although Romania had to deal wi</w:t>
      </w:r>
      <w:r>
        <w:rPr>
          <w:rFonts w:ascii="Times New Roman" w:hAnsi="Times New Roman" w:cs="Times New Roman"/>
          <w:noProof/>
          <w:sz w:val="24"/>
          <w:szCs w:val="24"/>
        </w:rPr>
        <w:t>th the global recession in 2008</w:t>
      </w:r>
      <w:r w:rsidRPr="009827AA">
        <w:rPr>
          <w:rFonts w:ascii="Times New Roman" w:hAnsi="Times New Roman" w:cs="Times New Roman"/>
          <w:noProof/>
          <w:sz w:val="24"/>
          <w:szCs w:val="24"/>
        </w:rPr>
        <w:t xml:space="preserve">, </w:t>
      </w:r>
      <w:r>
        <w:rPr>
          <w:rFonts w:ascii="Times New Roman" w:hAnsi="Times New Roman" w:cs="Times New Roman"/>
          <w:noProof/>
          <w:sz w:val="24"/>
          <w:szCs w:val="24"/>
        </w:rPr>
        <w:t xml:space="preserve">the </w:t>
      </w:r>
      <w:r w:rsidRPr="009827AA">
        <w:rPr>
          <w:rFonts w:ascii="Times New Roman" w:hAnsi="Times New Roman" w:cs="Times New Roman"/>
          <w:noProof/>
          <w:sz w:val="24"/>
          <w:szCs w:val="24"/>
        </w:rPr>
        <w:t xml:space="preserve">activity of </w:t>
      </w:r>
      <w:r>
        <w:rPr>
          <w:rFonts w:ascii="Times New Roman" w:hAnsi="Times New Roman" w:cs="Times New Roman"/>
          <w:noProof/>
          <w:sz w:val="24"/>
          <w:szCs w:val="24"/>
        </w:rPr>
        <w:t xml:space="preserve">the </w:t>
      </w:r>
      <w:r w:rsidRPr="009827AA">
        <w:rPr>
          <w:rFonts w:ascii="Times New Roman" w:hAnsi="Times New Roman" w:cs="Times New Roman"/>
          <w:noProof/>
          <w:sz w:val="24"/>
          <w:szCs w:val="24"/>
        </w:rPr>
        <w:t>investment funds declined only</w:t>
      </w:r>
      <w:r>
        <w:rPr>
          <w:rFonts w:ascii="Times New Roman" w:hAnsi="Times New Roman" w:cs="Times New Roman"/>
          <w:noProof/>
          <w:sz w:val="24"/>
          <w:szCs w:val="24"/>
        </w:rPr>
        <w:t xml:space="preserve"> with 10% of total net assets</w:t>
      </w:r>
      <w:r w:rsidR="00121E8D">
        <w:rPr>
          <w:rFonts w:ascii="Times New Roman" w:hAnsi="Times New Roman" w:cs="Times New Roman"/>
          <w:noProof/>
          <w:sz w:val="24"/>
          <w:szCs w:val="24"/>
        </w:rPr>
        <w:t>. Investors did not get affected by this, moreover</w:t>
      </w:r>
      <w:r w:rsidRPr="009827AA">
        <w:rPr>
          <w:rFonts w:ascii="Times New Roman" w:hAnsi="Times New Roman" w:cs="Times New Roman"/>
          <w:noProof/>
          <w:sz w:val="24"/>
          <w:szCs w:val="24"/>
        </w:rPr>
        <w:t>, their number increas</w:t>
      </w:r>
      <w:r w:rsidR="00121E8D">
        <w:rPr>
          <w:rFonts w:ascii="Times New Roman" w:hAnsi="Times New Roman" w:cs="Times New Roman"/>
          <w:noProof/>
          <w:sz w:val="24"/>
          <w:szCs w:val="24"/>
        </w:rPr>
        <w:t>ed</w:t>
      </w:r>
      <w:r w:rsidRPr="009827AA">
        <w:rPr>
          <w:rFonts w:ascii="Times New Roman" w:hAnsi="Times New Roman" w:cs="Times New Roman"/>
          <w:noProof/>
          <w:sz w:val="24"/>
          <w:szCs w:val="24"/>
        </w:rPr>
        <w:t xml:space="preserve"> by </w:t>
      </w:r>
      <w:r w:rsidR="00121E8D">
        <w:rPr>
          <w:rFonts w:ascii="Times New Roman" w:hAnsi="Times New Roman" w:cs="Times New Roman"/>
          <w:noProof/>
          <w:sz w:val="24"/>
          <w:szCs w:val="24"/>
        </w:rPr>
        <w:t>more than 2 times (i.e. 2.27) and also their</w:t>
      </w:r>
      <w:r w:rsidRPr="009827AA">
        <w:rPr>
          <w:rFonts w:ascii="Times New Roman" w:hAnsi="Times New Roman" w:cs="Times New Roman"/>
          <w:noProof/>
          <w:sz w:val="24"/>
          <w:szCs w:val="24"/>
        </w:rPr>
        <w:t xml:space="preserve"> net subscriptions by 36 % compared to 2007</w:t>
      </w:r>
      <w:r w:rsidR="00121E8D">
        <w:rPr>
          <w:rFonts w:ascii="Times New Roman" w:hAnsi="Times New Roman" w:cs="Times New Roman"/>
          <w:noProof/>
          <w:sz w:val="24"/>
          <w:szCs w:val="24"/>
        </w:rPr>
        <w:t>’s results</w:t>
      </w:r>
      <w:r w:rsidRPr="009827AA">
        <w:rPr>
          <w:rFonts w:ascii="Times New Roman" w:hAnsi="Times New Roman" w:cs="Times New Roman"/>
          <w:noProof/>
          <w:sz w:val="24"/>
          <w:szCs w:val="24"/>
        </w:rPr>
        <w:t xml:space="preserve">. Thus, we can say that investors remained still interested in Romanian investment funds contrary to the situation seen worldwide. </w:t>
      </w:r>
    </w:p>
    <w:p w:rsidR="00121E8D" w:rsidRDefault="00121E8D" w:rsidP="00121E8D">
      <w:pPr>
        <w:spacing w:after="120" w:line="240" w:lineRule="auto"/>
        <w:jc w:val="both"/>
        <w:rPr>
          <w:rFonts w:ascii="Times New Roman" w:hAnsi="Times New Roman" w:cs="Times New Roman"/>
          <w:noProof/>
          <w:sz w:val="24"/>
          <w:szCs w:val="24"/>
        </w:rPr>
      </w:pPr>
      <w:r w:rsidRPr="00121E8D">
        <w:rPr>
          <w:rFonts w:ascii="Times New Roman" w:hAnsi="Times New Roman" w:cs="Times New Roman"/>
          <w:noProof/>
          <w:sz w:val="24"/>
          <w:szCs w:val="24"/>
        </w:rPr>
        <w:t xml:space="preserve">Despite </w:t>
      </w:r>
      <w:r>
        <w:rPr>
          <w:rFonts w:ascii="Times New Roman" w:hAnsi="Times New Roman" w:cs="Times New Roman"/>
          <w:noProof/>
          <w:sz w:val="24"/>
          <w:szCs w:val="24"/>
        </w:rPr>
        <w:t xml:space="preserve">of </w:t>
      </w:r>
      <w:r w:rsidRPr="00121E8D">
        <w:rPr>
          <w:rFonts w:ascii="Times New Roman" w:hAnsi="Times New Roman" w:cs="Times New Roman"/>
          <w:noProof/>
          <w:sz w:val="24"/>
          <w:szCs w:val="24"/>
        </w:rPr>
        <w:t>the global economi</w:t>
      </w:r>
      <w:r>
        <w:rPr>
          <w:rFonts w:ascii="Times New Roman" w:hAnsi="Times New Roman" w:cs="Times New Roman"/>
          <w:noProof/>
          <w:sz w:val="24"/>
          <w:szCs w:val="24"/>
        </w:rPr>
        <w:t>c recession period</w:t>
      </w:r>
      <w:r w:rsidRPr="00121E8D">
        <w:rPr>
          <w:rFonts w:ascii="Times New Roman" w:hAnsi="Times New Roman" w:cs="Times New Roman"/>
          <w:noProof/>
          <w:sz w:val="24"/>
          <w:szCs w:val="24"/>
        </w:rPr>
        <w:t xml:space="preserve">, </w:t>
      </w:r>
      <w:r>
        <w:rPr>
          <w:rFonts w:ascii="Times New Roman" w:hAnsi="Times New Roman" w:cs="Times New Roman"/>
          <w:noProof/>
          <w:sz w:val="24"/>
          <w:szCs w:val="24"/>
        </w:rPr>
        <w:t xml:space="preserve">Romanian </w:t>
      </w:r>
      <w:r w:rsidRPr="00121E8D">
        <w:rPr>
          <w:rFonts w:ascii="Times New Roman" w:hAnsi="Times New Roman" w:cs="Times New Roman"/>
          <w:noProof/>
          <w:sz w:val="24"/>
          <w:szCs w:val="24"/>
        </w:rPr>
        <w:t xml:space="preserve">investment fund industry recorded a growth rate supported </w:t>
      </w:r>
      <w:r>
        <w:rPr>
          <w:rFonts w:ascii="Times New Roman" w:hAnsi="Times New Roman" w:cs="Times New Roman"/>
          <w:noProof/>
          <w:sz w:val="24"/>
          <w:szCs w:val="24"/>
        </w:rPr>
        <w:t xml:space="preserve">in the number of investors, </w:t>
      </w:r>
      <w:r w:rsidRPr="00121E8D">
        <w:rPr>
          <w:rFonts w:ascii="Times New Roman" w:hAnsi="Times New Roman" w:cs="Times New Roman"/>
          <w:noProof/>
          <w:sz w:val="24"/>
          <w:szCs w:val="24"/>
        </w:rPr>
        <w:t xml:space="preserve">in the number of emerging market funds and </w:t>
      </w:r>
      <w:r>
        <w:rPr>
          <w:rFonts w:ascii="Times New Roman" w:hAnsi="Times New Roman" w:cs="Times New Roman"/>
          <w:noProof/>
          <w:sz w:val="24"/>
          <w:szCs w:val="24"/>
        </w:rPr>
        <w:t xml:space="preserve">as well with the increase of the </w:t>
      </w:r>
      <w:r w:rsidRPr="00121E8D">
        <w:rPr>
          <w:rFonts w:ascii="Times New Roman" w:hAnsi="Times New Roman" w:cs="Times New Roman"/>
          <w:noProof/>
          <w:sz w:val="24"/>
          <w:szCs w:val="24"/>
        </w:rPr>
        <w:t>managed assets. Moreover,</w:t>
      </w:r>
      <w:r>
        <w:rPr>
          <w:rFonts w:ascii="Times New Roman" w:hAnsi="Times New Roman" w:cs="Times New Roman"/>
          <w:noProof/>
          <w:sz w:val="24"/>
          <w:szCs w:val="24"/>
        </w:rPr>
        <w:t xml:space="preserve"> starting with 2009,</w:t>
      </w:r>
      <w:r w:rsidRPr="00121E8D">
        <w:rPr>
          <w:rFonts w:ascii="Times New Roman" w:hAnsi="Times New Roman" w:cs="Times New Roman"/>
          <w:noProof/>
          <w:sz w:val="24"/>
          <w:szCs w:val="24"/>
        </w:rPr>
        <w:t xml:space="preserve"> the mutual fund industry in Romania recorded the highest annual growth rates in the total assets, </w:t>
      </w:r>
      <w:r>
        <w:rPr>
          <w:rFonts w:ascii="Times New Roman" w:hAnsi="Times New Roman" w:cs="Times New Roman"/>
          <w:noProof/>
          <w:sz w:val="24"/>
          <w:szCs w:val="24"/>
        </w:rPr>
        <w:t>so</w:t>
      </w:r>
      <w:r w:rsidRPr="00121E8D">
        <w:rPr>
          <w:rFonts w:ascii="Times New Roman" w:hAnsi="Times New Roman" w:cs="Times New Roman"/>
          <w:noProof/>
          <w:sz w:val="24"/>
          <w:szCs w:val="24"/>
        </w:rPr>
        <w:t xml:space="preserve"> in 2014 </w:t>
      </w:r>
      <w:r>
        <w:rPr>
          <w:rFonts w:ascii="Times New Roman" w:hAnsi="Times New Roman" w:cs="Times New Roman"/>
          <w:noProof/>
          <w:sz w:val="24"/>
          <w:szCs w:val="24"/>
        </w:rPr>
        <w:t>reached to</w:t>
      </w:r>
      <w:r w:rsidRPr="00121E8D">
        <w:rPr>
          <w:rFonts w:ascii="Times New Roman" w:hAnsi="Times New Roman" w:cs="Times New Roman"/>
          <w:noProof/>
          <w:sz w:val="24"/>
          <w:szCs w:val="24"/>
        </w:rPr>
        <w:t xml:space="preserve"> a middle </w:t>
      </w:r>
      <w:r>
        <w:rPr>
          <w:rFonts w:ascii="Times New Roman" w:hAnsi="Times New Roman" w:cs="Times New Roman"/>
          <w:noProof/>
          <w:sz w:val="24"/>
          <w:szCs w:val="24"/>
        </w:rPr>
        <w:t xml:space="preserve">position in the European market, being </w:t>
      </w:r>
      <w:r w:rsidRPr="00121E8D">
        <w:rPr>
          <w:rFonts w:ascii="Times New Roman" w:hAnsi="Times New Roman" w:cs="Times New Roman"/>
          <w:noProof/>
          <w:sz w:val="24"/>
          <w:szCs w:val="24"/>
        </w:rPr>
        <w:t>ranked 13th of 28 European countries.</w:t>
      </w:r>
    </w:p>
    <w:p w:rsidR="00121E8D" w:rsidRDefault="00121E8D" w:rsidP="00121E8D">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More exactly, starting with 2008, 11 new mutual funds and 5 new close-end funds gradually attracted new subscribers, so in 2014 reaching to comprise about 309.000 investors within 98 domestic funds (</w:t>
      </w:r>
      <w:r w:rsidRPr="00121E8D">
        <w:rPr>
          <w:rFonts w:ascii="Times New Roman" w:hAnsi="Times New Roman" w:cs="Times New Roman"/>
          <w:noProof/>
          <w:sz w:val="24"/>
          <w:szCs w:val="24"/>
        </w:rPr>
        <w:t xml:space="preserve"> 71 open and 27 closed)</w:t>
      </w:r>
      <w:r>
        <w:rPr>
          <w:rFonts w:ascii="Times New Roman" w:hAnsi="Times New Roman" w:cs="Times New Roman"/>
          <w:noProof/>
          <w:sz w:val="24"/>
          <w:szCs w:val="24"/>
        </w:rPr>
        <w:t xml:space="preserve">. Besides these domestic mutual funds, AAF reports the presence of a significant number of foreign mutual funds. The number of foreign investment </w:t>
      </w:r>
      <w:r>
        <w:rPr>
          <w:rFonts w:ascii="Times New Roman" w:hAnsi="Times New Roman" w:cs="Times New Roman"/>
          <w:noProof/>
          <w:sz w:val="24"/>
          <w:szCs w:val="24"/>
        </w:rPr>
        <w:lastRenderedPageBreak/>
        <w:t xml:space="preserve">funds has been also annually increasing </w:t>
      </w:r>
      <w:r w:rsidR="00F52DEB">
        <w:rPr>
          <w:rFonts w:ascii="Times New Roman" w:hAnsi="Times New Roman" w:cs="Times New Roman"/>
          <w:noProof/>
          <w:sz w:val="24"/>
          <w:szCs w:val="24"/>
        </w:rPr>
        <w:t>with an average of 15%, reaching today to equal the number of mutual funds, as evidences by Chart 2.2.</w:t>
      </w:r>
    </w:p>
    <w:p w:rsidR="005473CE" w:rsidRPr="008F00C9" w:rsidRDefault="00F52DEB" w:rsidP="005473CE">
      <w:pPr>
        <w:pStyle w:val="Caption"/>
        <w:spacing w:before="0" w:beforeAutospacing="0" w:after="0" w:afterAutospacing="0"/>
        <w:jc w:val="center"/>
        <w:rPr>
          <w:b/>
          <w:sz w:val="20"/>
        </w:rPr>
      </w:pPr>
      <w:bookmarkStart w:id="16" w:name="_Toc449385042"/>
      <w:r>
        <w:rPr>
          <w:b/>
          <w:sz w:val="20"/>
        </w:rPr>
        <w:t>Chart</w:t>
      </w:r>
      <w:r w:rsidR="005473CE" w:rsidRPr="008F00C9">
        <w:rPr>
          <w:b/>
          <w:sz w:val="20"/>
        </w:rPr>
        <w:t xml:space="preserve"> 2. </w:t>
      </w:r>
      <w:r w:rsidR="004B4616" w:rsidRPr="008F00C9">
        <w:rPr>
          <w:b/>
          <w:sz w:val="20"/>
        </w:rPr>
        <w:fldChar w:fldCharType="begin"/>
      </w:r>
      <w:r w:rsidR="005473CE" w:rsidRPr="008F00C9">
        <w:rPr>
          <w:b/>
          <w:sz w:val="20"/>
        </w:rPr>
        <w:instrText xml:space="preserve"> SEQ Grafic_2. \* ARABIC </w:instrText>
      </w:r>
      <w:r w:rsidR="004B4616" w:rsidRPr="008F00C9">
        <w:rPr>
          <w:b/>
          <w:sz w:val="20"/>
        </w:rPr>
        <w:fldChar w:fldCharType="separate"/>
      </w:r>
      <w:r w:rsidR="00695698" w:rsidRPr="008F00C9">
        <w:rPr>
          <w:b/>
          <w:noProof/>
          <w:sz w:val="20"/>
        </w:rPr>
        <w:t>2</w:t>
      </w:r>
      <w:r w:rsidR="004B4616" w:rsidRPr="008F00C9">
        <w:rPr>
          <w:b/>
          <w:sz w:val="20"/>
        </w:rPr>
        <w:fldChar w:fldCharType="end"/>
      </w:r>
      <w:r w:rsidR="005473CE" w:rsidRPr="008F00C9">
        <w:rPr>
          <w:b/>
          <w:sz w:val="20"/>
        </w:rPr>
        <w:t xml:space="preserve"> </w:t>
      </w:r>
      <w:r>
        <w:rPr>
          <w:b/>
          <w:sz w:val="20"/>
        </w:rPr>
        <w:t xml:space="preserve">Structure of the Romanian </w:t>
      </w:r>
      <w:bookmarkEnd w:id="16"/>
      <w:r>
        <w:rPr>
          <w:b/>
          <w:sz w:val="20"/>
        </w:rPr>
        <w:t>investment fund market</w:t>
      </w:r>
    </w:p>
    <w:p w:rsidR="005473CE" w:rsidRPr="008F00C9" w:rsidRDefault="005473CE" w:rsidP="005473CE">
      <w:pPr>
        <w:spacing w:after="0" w:line="240" w:lineRule="auto"/>
        <w:jc w:val="center"/>
        <w:rPr>
          <w:rFonts w:ascii="Times New Roman" w:hAnsi="Times New Roman" w:cs="Times New Roman"/>
          <w:sz w:val="24"/>
          <w:szCs w:val="24"/>
        </w:rPr>
      </w:pPr>
      <w:r w:rsidRPr="008F00C9">
        <w:rPr>
          <w:noProof/>
        </w:rPr>
        <w:drawing>
          <wp:inline distT="0" distB="0" distL="0" distR="0">
            <wp:extent cx="3631924" cy="1411357"/>
            <wp:effectExtent l="19050" t="0" r="6626" b="0"/>
            <wp:docPr id="2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3634484" cy="1412352"/>
                    </a:xfrm>
                    <a:prstGeom prst="rect">
                      <a:avLst/>
                    </a:prstGeom>
                  </pic:spPr>
                </pic:pic>
              </a:graphicData>
            </a:graphic>
          </wp:inline>
        </w:drawing>
      </w:r>
    </w:p>
    <w:p w:rsidR="005473CE" w:rsidRPr="00F52DEB" w:rsidRDefault="00F52DEB" w:rsidP="00F52DEB">
      <w:pPr>
        <w:spacing w:after="120" w:line="240" w:lineRule="auto"/>
        <w:jc w:val="center"/>
        <w:rPr>
          <w:rFonts w:ascii="Times New Roman" w:hAnsi="Times New Roman" w:cs="Times New Roman"/>
          <w:noProof/>
          <w:sz w:val="24"/>
          <w:szCs w:val="24"/>
        </w:rPr>
      </w:pPr>
      <w:r w:rsidRPr="00F52DEB">
        <w:rPr>
          <w:rFonts w:ascii="Times New Roman" w:hAnsi="Times New Roman" w:cs="Times New Roman"/>
          <w:noProof/>
          <w:sz w:val="24"/>
          <w:szCs w:val="24"/>
        </w:rPr>
        <w:t>Source</w:t>
      </w:r>
      <w:r w:rsidR="005473CE" w:rsidRPr="00F52DEB">
        <w:rPr>
          <w:rFonts w:ascii="Times New Roman" w:hAnsi="Times New Roman" w:cs="Times New Roman"/>
          <w:noProof/>
          <w:sz w:val="24"/>
          <w:szCs w:val="24"/>
        </w:rPr>
        <w:t xml:space="preserve">: </w:t>
      </w:r>
      <w:r w:rsidRPr="00F52DEB">
        <w:rPr>
          <w:rFonts w:ascii="Times New Roman" w:hAnsi="Times New Roman" w:cs="Times New Roman"/>
          <w:noProof/>
          <w:sz w:val="24"/>
          <w:szCs w:val="24"/>
        </w:rPr>
        <w:t>author’s own processing using</w:t>
      </w:r>
      <w:r w:rsidR="005473CE" w:rsidRPr="00F52DEB">
        <w:rPr>
          <w:rFonts w:ascii="Times New Roman" w:hAnsi="Times New Roman" w:cs="Times New Roman"/>
          <w:noProof/>
          <w:sz w:val="24"/>
          <w:szCs w:val="24"/>
        </w:rPr>
        <w:t xml:space="preserve"> AAF, CNVM și ASF</w:t>
      </w:r>
      <w:r w:rsidRPr="00F52DEB">
        <w:rPr>
          <w:rFonts w:ascii="Times New Roman" w:hAnsi="Times New Roman" w:cs="Times New Roman"/>
          <w:noProof/>
          <w:sz w:val="24"/>
          <w:szCs w:val="24"/>
        </w:rPr>
        <w:t xml:space="preserve"> statistics</w:t>
      </w:r>
    </w:p>
    <w:p w:rsidR="00F52DEB" w:rsidRDefault="00F52DEB" w:rsidP="00EA0194">
      <w:pPr>
        <w:spacing w:after="120" w:line="240" w:lineRule="auto"/>
        <w:jc w:val="both"/>
        <w:rPr>
          <w:rFonts w:ascii="Times New Roman" w:hAnsi="Times New Roman" w:cs="Times New Roman"/>
          <w:noProof/>
          <w:sz w:val="24"/>
          <w:szCs w:val="24"/>
        </w:rPr>
      </w:pPr>
      <w:r w:rsidRPr="00F52DEB">
        <w:rPr>
          <w:rFonts w:ascii="Times New Roman" w:hAnsi="Times New Roman" w:cs="Times New Roman"/>
          <w:noProof/>
          <w:sz w:val="24"/>
          <w:szCs w:val="24"/>
        </w:rPr>
        <w:t xml:space="preserve">Of </w:t>
      </w:r>
      <w:r>
        <w:rPr>
          <w:rFonts w:ascii="Times New Roman" w:hAnsi="Times New Roman" w:cs="Times New Roman"/>
          <w:noProof/>
          <w:sz w:val="24"/>
          <w:szCs w:val="24"/>
        </w:rPr>
        <w:t xml:space="preserve">the </w:t>
      </w:r>
      <w:r w:rsidRPr="00F52DEB">
        <w:rPr>
          <w:rFonts w:ascii="Times New Roman" w:hAnsi="Times New Roman" w:cs="Times New Roman"/>
          <w:noProof/>
          <w:sz w:val="24"/>
          <w:szCs w:val="24"/>
        </w:rPr>
        <w:t xml:space="preserve">total net assets managed by </w:t>
      </w:r>
      <w:r>
        <w:rPr>
          <w:rFonts w:ascii="Times New Roman" w:hAnsi="Times New Roman" w:cs="Times New Roman"/>
          <w:noProof/>
          <w:sz w:val="24"/>
          <w:szCs w:val="24"/>
        </w:rPr>
        <w:t xml:space="preserve">the Romanian </w:t>
      </w:r>
      <w:r w:rsidRPr="00F52DEB">
        <w:rPr>
          <w:rFonts w:ascii="Times New Roman" w:hAnsi="Times New Roman" w:cs="Times New Roman"/>
          <w:noProof/>
          <w:sz w:val="24"/>
          <w:szCs w:val="24"/>
        </w:rPr>
        <w:t xml:space="preserve">investment funds, </w:t>
      </w:r>
      <w:r>
        <w:rPr>
          <w:rFonts w:ascii="Times New Roman" w:hAnsi="Times New Roman" w:cs="Times New Roman"/>
          <w:noProof/>
          <w:sz w:val="24"/>
          <w:szCs w:val="24"/>
        </w:rPr>
        <w:t>mutual funds have</w:t>
      </w:r>
      <w:r w:rsidRPr="00F52DEB">
        <w:rPr>
          <w:rFonts w:ascii="Times New Roman" w:hAnsi="Times New Roman" w:cs="Times New Roman"/>
          <w:noProof/>
          <w:sz w:val="24"/>
          <w:szCs w:val="24"/>
        </w:rPr>
        <w:t xml:space="preserve"> administered an average </w:t>
      </w:r>
      <w:r>
        <w:rPr>
          <w:rFonts w:ascii="Times New Roman" w:hAnsi="Times New Roman" w:cs="Times New Roman"/>
          <w:noProof/>
          <w:sz w:val="24"/>
          <w:szCs w:val="24"/>
        </w:rPr>
        <w:t>quote</w:t>
      </w:r>
      <w:r w:rsidRPr="00F52DEB">
        <w:rPr>
          <w:rFonts w:ascii="Times New Roman" w:hAnsi="Times New Roman" w:cs="Times New Roman"/>
          <w:noProof/>
          <w:sz w:val="24"/>
          <w:szCs w:val="24"/>
        </w:rPr>
        <w:t xml:space="preserve"> of 81% throughout the review</w:t>
      </w:r>
      <w:r>
        <w:rPr>
          <w:rFonts w:ascii="Times New Roman" w:hAnsi="Times New Roman" w:cs="Times New Roman"/>
          <w:noProof/>
          <w:sz w:val="24"/>
          <w:szCs w:val="24"/>
        </w:rPr>
        <w:t>ed period</w:t>
      </w:r>
      <w:r w:rsidRPr="00F52DEB">
        <w:rPr>
          <w:rFonts w:ascii="Times New Roman" w:hAnsi="Times New Roman" w:cs="Times New Roman"/>
          <w:noProof/>
          <w:sz w:val="24"/>
          <w:szCs w:val="24"/>
        </w:rPr>
        <w:t xml:space="preserve">, while closed investment funds </w:t>
      </w:r>
      <w:r>
        <w:rPr>
          <w:rFonts w:ascii="Times New Roman" w:hAnsi="Times New Roman" w:cs="Times New Roman"/>
          <w:noProof/>
          <w:sz w:val="24"/>
          <w:szCs w:val="24"/>
        </w:rPr>
        <w:t xml:space="preserve">managed </w:t>
      </w:r>
      <w:r w:rsidRPr="00F52DEB">
        <w:rPr>
          <w:rFonts w:ascii="Times New Roman" w:hAnsi="Times New Roman" w:cs="Times New Roman"/>
          <w:noProof/>
          <w:sz w:val="24"/>
          <w:szCs w:val="24"/>
        </w:rPr>
        <w:t>the remaining 15</w:t>
      </w:r>
      <w:r>
        <w:rPr>
          <w:rFonts w:ascii="Times New Roman" w:hAnsi="Times New Roman" w:cs="Times New Roman"/>
          <w:noProof/>
          <w:sz w:val="24"/>
          <w:szCs w:val="24"/>
        </w:rPr>
        <w:t>%</w:t>
      </w:r>
      <w:r w:rsidRPr="00F52DEB">
        <w:rPr>
          <w:rFonts w:ascii="Times New Roman" w:hAnsi="Times New Roman" w:cs="Times New Roman"/>
          <w:noProof/>
          <w:sz w:val="24"/>
          <w:szCs w:val="24"/>
        </w:rPr>
        <w:t>. Increasing the value of total net assets across</w:t>
      </w:r>
      <w:r>
        <w:rPr>
          <w:rFonts w:ascii="Times New Roman" w:hAnsi="Times New Roman" w:cs="Times New Roman"/>
          <w:noProof/>
          <w:sz w:val="24"/>
          <w:szCs w:val="24"/>
        </w:rPr>
        <w:t xml:space="preserve"> the Romanian investment fund</w:t>
      </w:r>
      <w:r w:rsidRPr="00F52DEB">
        <w:rPr>
          <w:rFonts w:ascii="Times New Roman" w:hAnsi="Times New Roman" w:cs="Times New Roman"/>
          <w:noProof/>
          <w:sz w:val="24"/>
          <w:szCs w:val="24"/>
        </w:rPr>
        <w:t xml:space="preserve"> industry to 5.622 million RON (about 47 times higher than the </w:t>
      </w:r>
      <w:r>
        <w:rPr>
          <w:rFonts w:ascii="Times New Roman" w:hAnsi="Times New Roman" w:cs="Times New Roman"/>
          <w:noProof/>
          <w:sz w:val="24"/>
          <w:szCs w:val="24"/>
        </w:rPr>
        <w:t xml:space="preserve">total </w:t>
      </w:r>
      <w:r w:rsidRPr="00F52DEB">
        <w:rPr>
          <w:rFonts w:ascii="Times New Roman" w:hAnsi="Times New Roman" w:cs="Times New Roman"/>
          <w:noProof/>
          <w:sz w:val="24"/>
          <w:szCs w:val="24"/>
        </w:rPr>
        <w:t>assets</w:t>
      </w:r>
      <w:r>
        <w:rPr>
          <w:rFonts w:ascii="Times New Roman" w:hAnsi="Times New Roman" w:cs="Times New Roman"/>
          <w:noProof/>
          <w:sz w:val="24"/>
          <w:szCs w:val="24"/>
        </w:rPr>
        <w:t xml:space="preserve"> amount </w:t>
      </w:r>
      <w:r w:rsidRPr="00F52DEB">
        <w:rPr>
          <w:rFonts w:ascii="Times New Roman" w:hAnsi="Times New Roman" w:cs="Times New Roman"/>
          <w:noProof/>
          <w:sz w:val="24"/>
          <w:szCs w:val="24"/>
        </w:rPr>
        <w:t>managed by the 21 funds in 2003</w:t>
      </w:r>
      <w:r>
        <w:rPr>
          <w:rFonts w:ascii="Times New Roman" w:hAnsi="Times New Roman" w:cs="Times New Roman"/>
          <w:noProof/>
          <w:sz w:val="24"/>
          <w:szCs w:val="24"/>
        </w:rPr>
        <w:t>)</w:t>
      </w:r>
      <w:r w:rsidRPr="00F52DEB">
        <w:rPr>
          <w:rFonts w:ascii="Times New Roman" w:hAnsi="Times New Roman" w:cs="Times New Roman"/>
          <w:noProof/>
          <w:sz w:val="24"/>
          <w:szCs w:val="24"/>
        </w:rPr>
        <w:t xml:space="preserve">, it was done mostly </w:t>
      </w:r>
      <w:r>
        <w:rPr>
          <w:rFonts w:ascii="Times New Roman" w:hAnsi="Times New Roman" w:cs="Times New Roman"/>
          <w:noProof/>
          <w:sz w:val="24"/>
          <w:szCs w:val="24"/>
        </w:rPr>
        <w:t xml:space="preserve">due to the new capital inflows of </w:t>
      </w:r>
      <w:r w:rsidRPr="00F52DEB">
        <w:rPr>
          <w:rFonts w:ascii="Times New Roman" w:hAnsi="Times New Roman" w:cs="Times New Roman"/>
          <w:noProof/>
          <w:sz w:val="24"/>
          <w:szCs w:val="24"/>
        </w:rPr>
        <w:t>2008-2010.</w:t>
      </w:r>
    </w:p>
    <w:p w:rsidR="00442507" w:rsidRDefault="00F52DEB" w:rsidP="00442507">
      <w:pPr>
        <w:spacing w:after="120" w:line="240" w:lineRule="auto"/>
        <w:jc w:val="both"/>
        <w:rPr>
          <w:rFonts w:ascii="Times New Roman" w:hAnsi="Times New Roman" w:cs="Times New Roman"/>
          <w:color w:val="000000"/>
          <w:sz w:val="24"/>
          <w:szCs w:val="24"/>
        </w:rPr>
      </w:pPr>
      <w:r w:rsidRPr="00F52DEB">
        <w:rPr>
          <w:rFonts w:ascii="Times New Roman" w:hAnsi="Times New Roman" w:cs="Times New Roman"/>
          <w:noProof/>
          <w:sz w:val="24"/>
          <w:szCs w:val="24"/>
        </w:rPr>
        <w:t xml:space="preserve">We find that the last 10 years have been </w:t>
      </w:r>
      <w:r>
        <w:rPr>
          <w:rFonts w:ascii="Times New Roman" w:hAnsi="Times New Roman" w:cs="Times New Roman"/>
          <w:noProof/>
          <w:sz w:val="24"/>
          <w:szCs w:val="24"/>
        </w:rPr>
        <w:t>very active for the domestic investment funds market</w:t>
      </w:r>
      <w:r w:rsidRPr="00F52DEB">
        <w:rPr>
          <w:rFonts w:ascii="Times New Roman" w:hAnsi="Times New Roman" w:cs="Times New Roman"/>
          <w:noProof/>
          <w:sz w:val="24"/>
          <w:szCs w:val="24"/>
        </w:rPr>
        <w:t xml:space="preserve"> </w:t>
      </w:r>
      <w:r>
        <w:rPr>
          <w:rFonts w:ascii="Times New Roman" w:hAnsi="Times New Roman" w:cs="Times New Roman"/>
          <w:noProof/>
          <w:sz w:val="24"/>
          <w:szCs w:val="24"/>
        </w:rPr>
        <w:t>(Appendix 5)</w:t>
      </w:r>
      <w:r w:rsidRPr="00F52DEB">
        <w:rPr>
          <w:rFonts w:ascii="Times New Roman" w:hAnsi="Times New Roman" w:cs="Times New Roman"/>
          <w:noProof/>
          <w:sz w:val="24"/>
          <w:szCs w:val="24"/>
        </w:rPr>
        <w:t xml:space="preserve">. </w:t>
      </w:r>
      <w:r w:rsidR="00442507">
        <w:rPr>
          <w:rFonts w:ascii="Times New Roman" w:hAnsi="Times New Roman" w:cs="Times New Roman"/>
          <w:noProof/>
          <w:sz w:val="24"/>
          <w:szCs w:val="24"/>
        </w:rPr>
        <w:t xml:space="preserve">Following the observed ascendend trend – in their number and in the total of the managed amounts - </w:t>
      </w:r>
      <w:r w:rsidRPr="00F52DEB">
        <w:rPr>
          <w:rFonts w:ascii="Times New Roman" w:hAnsi="Times New Roman" w:cs="Times New Roman"/>
          <w:noProof/>
          <w:sz w:val="24"/>
          <w:szCs w:val="24"/>
        </w:rPr>
        <w:t xml:space="preserve">we </w:t>
      </w:r>
      <w:r w:rsidR="00442507">
        <w:rPr>
          <w:rFonts w:ascii="Times New Roman" w:hAnsi="Times New Roman" w:cs="Times New Roman"/>
          <w:noProof/>
          <w:sz w:val="24"/>
          <w:szCs w:val="24"/>
        </w:rPr>
        <w:t>can say that at the end of 2014</w:t>
      </w:r>
      <w:r w:rsidRPr="00F52DEB">
        <w:rPr>
          <w:rFonts w:ascii="Times New Roman" w:hAnsi="Times New Roman" w:cs="Times New Roman"/>
          <w:noProof/>
          <w:sz w:val="24"/>
          <w:szCs w:val="24"/>
        </w:rPr>
        <w:t xml:space="preserve">, the industry was stimulated by the fact that total assets multiplied 43 times and the number of investment funds increased by 4 times </w:t>
      </w:r>
      <w:r w:rsidR="00442507">
        <w:rPr>
          <w:rFonts w:ascii="Times New Roman" w:hAnsi="Times New Roman" w:cs="Times New Roman"/>
          <w:noProof/>
          <w:sz w:val="24"/>
          <w:szCs w:val="24"/>
        </w:rPr>
        <w:t>the situation of 2005. Moreover</w:t>
      </w:r>
      <w:r w:rsidRPr="00F52DEB">
        <w:rPr>
          <w:rFonts w:ascii="Times New Roman" w:hAnsi="Times New Roman" w:cs="Times New Roman"/>
          <w:noProof/>
          <w:sz w:val="24"/>
          <w:szCs w:val="24"/>
        </w:rPr>
        <w:t>, as proof of the Romanian capital market</w:t>
      </w:r>
      <w:r w:rsidR="00442507">
        <w:rPr>
          <w:rFonts w:ascii="Times New Roman" w:hAnsi="Times New Roman" w:cs="Times New Roman"/>
          <w:noProof/>
          <w:sz w:val="24"/>
          <w:szCs w:val="24"/>
        </w:rPr>
        <w:t>’s increasing attractiveness and openess</w:t>
      </w:r>
      <w:r w:rsidRPr="00F52DEB">
        <w:rPr>
          <w:rFonts w:ascii="Times New Roman" w:hAnsi="Times New Roman" w:cs="Times New Roman"/>
          <w:noProof/>
          <w:sz w:val="24"/>
          <w:szCs w:val="24"/>
        </w:rPr>
        <w:t>, a significant number of foreign funds are active</w:t>
      </w:r>
      <w:r w:rsidR="00442507">
        <w:rPr>
          <w:rFonts w:ascii="Times New Roman" w:hAnsi="Times New Roman" w:cs="Times New Roman"/>
          <w:noProof/>
          <w:sz w:val="24"/>
          <w:szCs w:val="24"/>
        </w:rPr>
        <w:t xml:space="preserve"> lately</w:t>
      </w:r>
      <w:r w:rsidRPr="00F52DEB">
        <w:rPr>
          <w:rFonts w:ascii="Times New Roman" w:hAnsi="Times New Roman" w:cs="Times New Roman"/>
          <w:noProof/>
          <w:sz w:val="24"/>
          <w:szCs w:val="24"/>
        </w:rPr>
        <w:t xml:space="preserve"> on the </w:t>
      </w:r>
      <w:r w:rsidR="00442507">
        <w:rPr>
          <w:rFonts w:ascii="Times New Roman" w:hAnsi="Times New Roman" w:cs="Times New Roman"/>
          <w:noProof/>
          <w:sz w:val="24"/>
          <w:szCs w:val="24"/>
        </w:rPr>
        <w:t>local market (e.g.</w:t>
      </w:r>
      <w:r w:rsidRPr="00F52DEB">
        <w:rPr>
          <w:rFonts w:ascii="Times New Roman" w:hAnsi="Times New Roman" w:cs="Times New Roman"/>
          <w:noProof/>
          <w:sz w:val="24"/>
          <w:szCs w:val="24"/>
        </w:rPr>
        <w:t xml:space="preserve"> </w:t>
      </w:r>
      <w:r w:rsidR="00442507">
        <w:rPr>
          <w:rFonts w:ascii="Times New Roman" w:hAnsi="Times New Roman" w:cs="Times New Roman"/>
          <w:noProof/>
          <w:sz w:val="24"/>
          <w:szCs w:val="24"/>
        </w:rPr>
        <w:t>f</w:t>
      </w:r>
      <w:r w:rsidRPr="00F52DEB">
        <w:rPr>
          <w:rFonts w:ascii="Times New Roman" w:hAnsi="Times New Roman" w:cs="Times New Roman"/>
          <w:noProof/>
          <w:sz w:val="24"/>
          <w:szCs w:val="24"/>
        </w:rPr>
        <w:t xml:space="preserve">rom a number of two </w:t>
      </w:r>
      <w:r w:rsidR="00442507">
        <w:rPr>
          <w:rFonts w:ascii="Times New Roman" w:hAnsi="Times New Roman" w:cs="Times New Roman"/>
          <w:noProof/>
          <w:sz w:val="24"/>
          <w:szCs w:val="24"/>
        </w:rPr>
        <w:t>foreign mutual funds in 2005 up to</w:t>
      </w:r>
      <w:r w:rsidRPr="00F52DEB">
        <w:rPr>
          <w:rFonts w:ascii="Times New Roman" w:hAnsi="Times New Roman" w:cs="Times New Roman"/>
          <w:noProof/>
          <w:sz w:val="24"/>
          <w:szCs w:val="24"/>
        </w:rPr>
        <w:t xml:space="preserve"> 65 </w:t>
      </w:r>
      <w:r w:rsidR="00442507">
        <w:rPr>
          <w:rFonts w:ascii="Times New Roman" w:hAnsi="Times New Roman" w:cs="Times New Roman"/>
          <w:noProof/>
          <w:sz w:val="24"/>
          <w:szCs w:val="24"/>
        </w:rPr>
        <w:t>foreign mutual funds in 2014 (</w:t>
      </w:r>
      <w:r w:rsidRPr="00F52DEB">
        <w:rPr>
          <w:rFonts w:ascii="Times New Roman" w:hAnsi="Times New Roman" w:cs="Times New Roman"/>
          <w:noProof/>
          <w:sz w:val="24"/>
          <w:szCs w:val="24"/>
        </w:rPr>
        <w:t>Figure 2.2)</w:t>
      </w:r>
      <w:r w:rsidR="00442507">
        <w:rPr>
          <w:rFonts w:ascii="Times New Roman" w:hAnsi="Times New Roman" w:cs="Times New Roman"/>
          <w:noProof/>
          <w:sz w:val="24"/>
          <w:szCs w:val="24"/>
        </w:rPr>
        <w:t>).</w:t>
      </w:r>
      <w:r w:rsidRPr="00F52DEB">
        <w:rPr>
          <w:rFonts w:ascii="Times New Roman" w:hAnsi="Times New Roman" w:cs="Times New Roman"/>
          <w:noProof/>
          <w:sz w:val="24"/>
          <w:szCs w:val="24"/>
        </w:rPr>
        <w:t xml:space="preserve"> </w:t>
      </w:r>
      <w:r w:rsidR="00442507">
        <w:rPr>
          <w:rFonts w:ascii="Times New Roman" w:hAnsi="Times New Roman" w:cs="Times New Roman"/>
          <w:noProof/>
          <w:sz w:val="24"/>
          <w:szCs w:val="24"/>
        </w:rPr>
        <w:t>As a consequence, all capital inflows of 2014 (</w:t>
      </w:r>
      <w:r w:rsidR="00442507" w:rsidRPr="00442507">
        <w:rPr>
          <w:rFonts w:ascii="Times New Roman" w:hAnsi="Times New Roman" w:cs="Times New Roman"/>
          <w:color w:val="000000"/>
          <w:sz w:val="24"/>
          <w:szCs w:val="24"/>
        </w:rPr>
        <w:t>approximately EUR 1 b</w:t>
      </w:r>
      <w:r w:rsidR="00442507">
        <w:rPr>
          <w:rFonts w:ascii="Times New Roman" w:hAnsi="Times New Roman" w:cs="Times New Roman"/>
          <w:color w:val="000000"/>
          <w:sz w:val="24"/>
          <w:szCs w:val="24"/>
        </w:rPr>
        <w:t>illion) and total net assets of over 5.7 billion EUR (5.717 million euros</w:t>
      </w:r>
      <w:r w:rsidR="00442507" w:rsidRPr="00442507">
        <w:rPr>
          <w:rFonts w:ascii="Times New Roman" w:hAnsi="Times New Roman" w:cs="Times New Roman"/>
          <w:color w:val="000000"/>
          <w:sz w:val="24"/>
          <w:szCs w:val="24"/>
        </w:rPr>
        <w:t xml:space="preserve">), </w:t>
      </w:r>
      <w:r w:rsidR="00442507">
        <w:rPr>
          <w:rFonts w:ascii="Times New Roman" w:hAnsi="Times New Roman" w:cs="Times New Roman"/>
          <w:color w:val="000000"/>
          <w:sz w:val="24"/>
          <w:szCs w:val="24"/>
        </w:rPr>
        <w:t>ranked Romania as being the</w:t>
      </w:r>
      <w:r w:rsidR="00442507" w:rsidRPr="00442507">
        <w:rPr>
          <w:rFonts w:ascii="Times New Roman" w:hAnsi="Times New Roman" w:cs="Times New Roman"/>
          <w:color w:val="000000"/>
          <w:sz w:val="24"/>
          <w:szCs w:val="24"/>
        </w:rPr>
        <w:t xml:space="preserve"> 13</w:t>
      </w:r>
      <w:r w:rsidR="00442507" w:rsidRPr="00442507">
        <w:rPr>
          <w:rFonts w:ascii="Times New Roman" w:hAnsi="Times New Roman" w:cs="Times New Roman"/>
          <w:color w:val="000000"/>
          <w:sz w:val="24"/>
          <w:szCs w:val="24"/>
          <w:vertAlign w:val="superscript"/>
        </w:rPr>
        <w:t>th</w:t>
      </w:r>
      <w:r w:rsidR="00442507">
        <w:rPr>
          <w:rFonts w:ascii="Times New Roman" w:hAnsi="Times New Roman" w:cs="Times New Roman"/>
          <w:color w:val="000000"/>
          <w:sz w:val="24"/>
          <w:szCs w:val="24"/>
        </w:rPr>
        <w:t xml:space="preserve"> state in Europe</w:t>
      </w:r>
      <w:r w:rsidR="00442507" w:rsidRPr="00442507">
        <w:rPr>
          <w:rFonts w:ascii="Times New Roman" w:hAnsi="Times New Roman" w:cs="Times New Roman"/>
          <w:color w:val="000000"/>
          <w:sz w:val="24"/>
          <w:szCs w:val="24"/>
        </w:rPr>
        <w:t xml:space="preserve">, standing at mid-table EFAMA </w:t>
      </w:r>
      <w:r w:rsidR="00442507">
        <w:rPr>
          <w:rFonts w:ascii="Times New Roman" w:hAnsi="Times New Roman" w:cs="Times New Roman"/>
          <w:color w:val="000000"/>
          <w:sz w:val="24"/>
          <w:szCs w:val="24"/>
        </w:rPr>
        <w:t>of the 28</w:t>
      </w:r>
      <w:r w:rsidR="00442507" w:rsidRPr="00442507">
        <w:rPr>
          <w:rFonts w:ascii="Times New Roman" w:hAnsi="Times New Roman" w:cs="Times New Roman"/>
          <w:color w:val="000000"/>
          <w:sz w:val="24"/>
          <w:szCs w:val="24"/>
          <w:vertAlign w:val="superscript"/>
        </w:rPr>
        <w:t>th</w:t>
      </w:r>
      <w:r w:rsidR="00442507">
        <w:rPr>
          <w:rFonts w:ascii="Times New Roman" w:hAnsi="Times New Roman" w:cs="Times New Roman"/>
          <w:color w:val="000000"/>
          <w:sz w:val="24"/>
          <w:szCs w:val="24"/>
        </w:rPr>
        <w:t xml:space="preserve"> Member States</w:t>
      </w:r>
      <w:r w:rsidR="00442507" w:rsidRPr="00442507">
        <w:rPr>
          <w:rFonts w:ascii="Times New Roman" w:hAnsi="Times New Roman" w:cs="Times New Roman"/>
          <w:color w:val="000000"/>
          <w:sz w:val="24"/>
          <w:szCs w:val="24"/>
        </w:rPr>
        <w:t>.</w:t>
      </w:r>
    </w:p>
    <w:p w:rsidR="00442507" w:rsidRDefault="00442507" w:rsidP="00442507">
      <w:pPr>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Conducting an analysis of cycles for the Romanian mutual funds market experienced during 2006-2011 period (using quarterly observations), we find a strong cyclical behavior modification of the total assets managed by equity funds and money market funds. Their trends are opposites, while bond funds show low intensity fluctuation and balanced funds retain a steady evolving, as shown in chart 2.3.</w:t>
      </w:r>
    </w:p>
    <w:tbl>
      <w:tblPr>
        <w:tblW w:w="0" w:type="auto"/>
        <w:tblLook w:val="04A0"/>
      </w:tblPr>
      <w:tblGrid>
        <w:gridCol w:w="4836"/>
        <w:gridCol w:w="4721"/>
      </w:tblGrid>
      <w:tr w:rsidR="005473CE" w:rsidRPr="008F00C9" w:rsidTr="005473CE">
        <w:tc>
          <w:tcPr>
            <w:tcW w:w="9557" w:type="dxa"/>
            <w:gridSpan w:val="2"/>
          </w:tcPr>
          <w:p w:rsidR="005473CE" w:rsidRPr="008F00C9" w:rsidRDefault="00F52DEB" w:rsidP="00F52DEB">
            <w:pPr>
              <w:pStyle w:val="Caption"/>
              <w:spacing w:before="0" w:beforeAutospacing="0" w:after="0" w:afterAutospacing="0"/>
              <w:jc w:val="center"/>
              <w:rPr>
                <w:b/>
                <w:noProof/>
              </w:rPr>
            </w:pPr>
            <w:bookmarkStart w:id="17" w:name="_Toc449385045"/>
            <w:r>
              <w:rPr>
                <w:b/>
              </w:rPr>
              <w:t>Chart</w:t>
            </w:r>
            <w:r w:rsidR="005473CE" w:rsidRPr="008F00C9">
              <w:rPr>
                <w:b/>
              </w:rPr>
              <w:t xml:space="preserve"> 2. </w:t>
            </w:r>
            <w:r w:rsidR="004B4616" w:rsidRPr="008F00C9">
              <w:rPr>
                <w:b/>
              </w:rPr>
              <w:fldChar w:fldCharType="begin"/>
            </w:r>
            <w:r w:rsidR="005473CE" w:rsidRPr="008F00C9">
              <w:rPr>
                <w:b/>
              </w:rPr>
              <w:instrText xml:space="preserve"> SEQ Grafic_2. \* ARABIC </w:instrText>
            </w:r>
            <w:r w:rsidR="004B4616" w:rsidRPr="008F00C9">
              <w:rPr>
                <w:b/>
              </w:rPr>
              <w:fldChar w:fldCharType="separate"/>
            </w:r>
            <w:r w:rsidR="00442507">
              <w:rPr>
                <w:b/>
                <w:noProof/>
              </w:rPr>
              <w:t>3</w:t>
            </w:r>
            <w:r w:rsidR="004B4616" w:rsidRPr="008F00C9">
              <w:rPr>
                <w:b/>
              </w:rPr>
              <w:fldChar w:fldCharType="end"/>
            </w:r>
            <w:r w:rsidR="005473CE" w:rsidRPr="008F00C9">
              <w:rPr>
                <w:b/>
              </w:rPr>
              <w:t xml:space="preserve"> W</w:t>
            </w:r>
            <w:r>
              <w:rPr>
                <w:b/>
              </w:rPr>
              <w:t xml:space="preserve"> dynamics of the mutual funds market</w:t>
            </w:r>
            <w:r w:rsidR="005473CE" w:rsidRPr="008F00C9">
              <w:rPr>
                <w:b/>
              </w:rPr>
              <w:t xml:space="preserve"> </w:t>
            </w:r>
            <w:bookmarkEnd w:id="17"/>
            <w:r>
              <w:rPr>
                <w:b/>
              </w:rPr>
              <w:t>during financial crisis period</w:t>
            </w:r>
          </w:p>
        </w:tc>
      </w:tr>
      <w:tr w:rsidR="005473CE" w:rsidRPr="008F00C9" w:rsidTr="005473CE">
        <w:tc>
          <w:tcPr>
            <w:tcW w:w="9557" w:type="dxa"/>
            <w:gridSpan w:val="2"/>
          </w:tcPr>
          <w:p w:rsidR="005473CE" w:rsidRPr="008F00C9" w:rsidRDefault="00F52DEB" w:rsidP="00F52DEB">
            <w:pPr>
              <w:spacing w:after="0" w:line="240" w:lineRule="auto"/>
              <w:jc w:val="center"/>
              <w:rPr>
                <w:rFonts w:ascii="Times New Roman" w:hAnsi="Times New Roman" w:cs="Times New Roman"/>
              </w:rPr>
            </w:pPr>
            <w:r>
              <w:rPr>
                <w:rFonts w:ascii="Times New Roman" w:hAnsi="Times New Roman" w:cs="Times New Roman"/>
                <w:b/>
                <w:bCs/>
                <w:color w:val="000000"/>
                <w:kern w:val="24"/>
              </w:rPr>
              <w:t>Total net assets</w:t>
            </w:r>
            <w:r w:rsidR="005473CE" w:rsidRPr="008F00C9">
              <w:rPr>
                <w:rFonts w:ascii="Times New Roman" w:hAnsi="Times New Roman" w:cs="Times New Roman"/>
                <w:b/>
                <w:bCs/>
                <w:color w:val="000000"/>
                <w:kern w:val="24"/>
              </w:rPr>
              <w:t xml:space="preserve"> </w:t>
            </w:r>
            <w:r>
              <w:rPr>
                <w:rFonts w:ascii="Times New Roman" w:hAnsi="Times New Roman" w:cs="Times New Roman"/>
                <w:b/>
                <w:bCs/>
                <w:color w:val="000000"/>
                <w:kern w:val="24"/>
              </w:rPr>
              <w:t xml:space="preserve">per type of funds - global overview </w:t>
            </w:r>
          </w:p>
        </w:tc>
      </w:tr>
      <w:tr w:rsidR="005473CE" w:rsidRPr="008F00C9" w:rsidTr="005473CE">
        <w:tc>
          <w:tcPr>
            <w:tcW w:w="4836" w:type="dxa"/>
          </w:tcPr>
          <w:p w:rsidR="005473CE" w:rsidRPr="008F00C9" w:rsidRDefault="005473CE" w:rsidP="0019180E">
            <w:pPr>
              <w:spacing w:after="0" w:line="240" w:lineRule="auto"/>
              <w:jc w:val="center"/>
              <w:rPr>
                <w:rFonts w:ascii="Times New Roman" w:hAnsi="Times New Roman" w:cs="Times New Roman"/>
              </w:rPr>
            </w:pPr>
            <w:r w:rsidRPr="008F00C9">
              <w:rPr>
                <w:rFonts w:ascii="Times New Roman" w:hAnsi="Times New Roman" w:cs="Times New Roman"/>
                <w:noProof/>
              </w:rPr>
              <w:drawing>
                <wp:inline distT="0" distB="0" distL="0" distR="0">
                  <wp:extent cx="2861306" cy="1371600"/>
                  <wp:effectExtent l="19050" t="0" r="0" b="0"/>
                  <wp:docPr id="806"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1"/>
                          <a:srcRect/>
                          <a:stretch>
                            <a:fillRect/>
                          </a:stretch>
                        </pic:blipFill>
                        <pic:spPr bwMode="auto">
                          <a:xfrm>
                            <a:off x="0" y="0"/>
                            <a:ext cx="2870453" cy="1375985"/>
                          </a:xfrm>
                          <a:prstGeom prst="rect">
                            <a:avLst/>
                          </a:prstGeom>
                          <a:noFill/>
                          <a:ln w="9525">
                            <a:noFill/>
                            <a:miter lim="800000"/>
                            <a:headEnd/>
                            <a:tailEnd/>
                          </a:ln>
                        </pic:spPr>
                      </pic:pic>
                    </a:graphicData>
                  </a:graphic>
                </wp:inline>
              </w:drawing>
            </w:r>
          </w:p>
        </w:tc>
        <w:tc>
          <w:tcPr>
            <w:tcW w:w="4721" w:type="dxa"/>
          </w:tcPr>
          <w:p w:rsidR="005473CE" w:rsidRPr="008F00C9" w:rsidRDefault="005473CE" w:rsidP="0019180E">
            <w:pPr>
              <w:spacing w:after="0" w:line="240" w:lineRule="auto"/>
              <w:jc w:val="center"/>
              <w:rPr>
                <w:rFonts w:ascii="Times New Roman" w:hAnsi="Times New Roman" w:cs="Times New Roman"/>
              </w:rPr>
            </w:pPr>
            <w:r w:rsidRPr="008F00C9">
              <w:rPr>
                <w:rFonts w:ascii="Times New Roman" w:hAnsi="Times New Roman" w:cs="Times New Roman"/>
                <w:noProof/>
              </w:rPr>
              <w:drawing>
                <wp:inline distT="0" distB="0" distL="0" distR="0">
                  <wp:extent cx="2686050" cy="1443415"/>
                  <wp:effectExtent l="19050" t="0" r="0" b="0"/>
                  <wp:docPr id="808"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2"/>
                          <a:srcRect/>
                          <a:stretch>
                            <a:fillRect/>
                          </a:stretch>
                        </pic:blipFill>
                        <pic:spPr bwMode="auto">
                          <a:xfrm>
                            <a:off x="0" y="0"/>
                            <a:ext cx="2708612" cy="1455539"/>
                          </a:xfrm>
                          <a:prstGeom prst="rect">
                            <a:avLst/>
                          </a:prstGeom>
                          <a:noFill/>
                          <a:ln w="9525">
                            <a:noFill/>
                            <a:miter lim="800000"/>
                            <a:headEnd/>
                            <a:tailEnd/>
                          </a:ln>
                        </pic:spPr>
                      </pic:pic>
                    </a:graphicData>
                  </a:graphic>
                </wp:inline>
              </w:drawing>
            </w:r>
          </w:p>
        </w:tc>
      </w:tr>
      <w:tr w:rsidR="005473CE" w:rsidRPr="008F00C9" w:rsidTr="005473CE">
        <w:tc>
          <w:tcPr>
            <w:tcW w:w="9557" w:type="dxa"/>
            <w:gridSpan w:val="2"/>
          </w:tcPr>
          <w:p w:rsidR="005473CE" w:rsidRPr="008F00C9" w:rsidRDefault="00F52DEB" w:rsidP="00F52DEB">
            <w:pPr>
              <w:spacing w:after="0" w:line="240" w:lineRule="auto"/>
              <w:jc w:val="center"/>
              <w:rPr>
                <w:rFonts w:ascii="Times New Roman" w:hAnsi="Times New Roman" w:cs="Times New Roman"/>
              </w:rPr>
            </w:pPr>
            <w:r>
              <w:rPr>
                <w:rFonts w:ascii="Times New Roman" w:hAnsi="Times New Roman" w:cs="Times New Roman"/>
                <w:b/>
                <w:bCs/>
                <w:color w:val="000000"/>
                <w:kern w:val="24"/>
              </w:rPr>
              <w:t>Total net assets</w:t>
            </w:r>
            <w:r w:rsidRPr="008F00C9">
              <w:rPr>
                <w:rFonts w:ascii="Times New Roman" w:hAnsi="Times New Roman" w:cs="Times New Roman"/>
                <w:b/>
                <w:bCs/>
                <w:color w:val="000000"/>
                <w:kern w:val="24"/>
              </w:rPr>
              <w:t xml:space="preserve"> </w:t>
            </w:r>
            <w:r>
              <w:rPr>
                <w:rFonts w:ascii="Times New Roman" w:hAnsi="Times New Roman" w:cs="Times New Roman"/>
                <w:b/>
                <w:bCs/>
                <w:color w:val="000000"/>
                <w:kern w:val="24"/>
              </w:rPr>
              <w:t xml:space="preserve">per type of funds - European overview </w:t>
            </w:r>
          </w:p>
        </w:tc>
      </w:tr>
      <w:tr w:rsidR="005473CE" w:rsidRPr="008F00C9" w:rsidTr="005473CE">
        <w:tc>
          <w:tcPr>
            <w:tcW w:w="4836" w:type="dxa"/>
          </w:tcPr>
          <w:p w:rsidR="005473CE" w:rsidRPr="008F00C9" w:rsidRDefault="005473CE" w:rsidP="0019180E">
            <w:pPr>
              <w:spacing w:after="0" w:line="240" w:lineRule="auto"/>
              <w:jc w:val="center"/>
              <w:rPr>
                <w:rFonts w:ascii="Times New Roman" w:hAnsi="Times New Roman" w:cs="Times New Roman"/>
              </w:rPr>
            </w:pPr>
            <w:r w:rsidRPr="008F00C9">
              <w:rPr>
                <w:rFonts w:ascii="Times New Roman" w:hAnsi="Times New Roman" w:cs="Times New Roman"/>
                <w:noProof/>
              </w:rPr>
              <w:lastRenderedPageBreak/>
              <w:drawing>
                <wp:inline distT="0" distB="0" distL="0" distR="0">
                  <wp:extent cx="2847975" cy="1555778"/>
                  <wp:effectExtent l="19050" t="0" r="0" b="0"/>
                  <wp:docPr id="809"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3"/>
                          <a:srcRect/>
                          <a:stretch>
                            <a:fillRect/>
                          </a:stretch>
                        </pic:blipFill>
                        <pic:spPr bwMode="auto">
                          <a:xfrm>
                            <a:off x="0" y="0"/>
                            <a:ext cx="2859732" cy="1562201"/>
                          </a:xfrm>
                          <a:prstGeom prst="rect">
                            <a:avLst/>
                          </a:prstGeom>
                          <a:noFill/>
                          <a:ln w="9525">
                            <a:noFill/>
                            <a:miter lim="800000"/>
                            <a:headEnd/>
                            <a:tailEnd/>
                          </a:ln>
                        </pic:spPr>
                      </pic:pic>
                    </a:graphicData>
                  </a:graphic>
                </wp:inline>
              </w:drawing>
            </w:r>
          </w:p>
        </w:tc>
        <w:tc>
          <w:tcPr>
            <w:tcW w:w="4721" w:type="dxa"/>
          </w:tcPr>
          <w:p w:rsidR="005473CE" w:rsidRPr="008F00C9" w:rsidRDefault="005473CE" w:rsidP="0019180E">
            <w:pPr>
              <w:spacing w:after="0" w:line="240" w:lineRule="auto"/>
              <w:jc w:val="center"/>
              <w:rPr>
                <w:rFonts w:ascii="Times New Roman" w:hAnsi="Times New Roman" w:cs="Times New Roman"/>
              </w:rPr>
            </w:pPr>
            <w:r w:rsidRPr="008F00C9">
              <w:rPr>
                <w:rFonts w:ascii="Times New Roman" w:hAnsi="Times New Roman" w:cs="Times New Roman"/>
                <w:noProof/>
              </w:rPr>
              <w:drawing>
                <wp:inline distT="0" distB="0" distL="0" distR="0">
                  <wp:extent cx="2800350" cy="1687167"/>
                  <wp:effectExtent l="19050" t="0" r="0" b="0"/>
                  <wp:docPr id="811"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4"/>
                          <a:srcRect/>
                          <a:stretch>
                            <a:fillRect/>
                          </a:stretch>
                        </pic:blipFill>
                        <pic:spPr bwMode="auto">
                          <a:xfrm>
                            <a:off x="0" y="0"/>
                            <a:ext cx="2822713" cy="1700640"/>
                          </a:xfrm>
                          <a:prstGeom prst="rect">
                            <a:avLst/>
                          </a:prstGeom>
                          <a:noFill/>
                          <a:ln w="9525">
                            <a:noFill/>
                            <a:miter lim="800000"/>
                            <a:headEnd/>
                            <a:tailEnd/>
                          </a:ln>
                        </pic:spPr>
                      </pic:pic>
                    </a:graphicData>
                  </a:graphic>
                </wp:inline>
              </w:drawing>
            </w:r>
          </w:p>
        </w:tc>
      </w:tr>
      <w:tr w:rsidR="005473CE" w:rsidRPr="008F00C9" w:rsidTr="005473CE">
        <w:tc>
          <w:tcPr>
            <w:tcW w:w="9557" w:type="dxa"/>
            <w:gridSpan w:val="2"/>
          </w:tcPr>
          <w:p w:rsidR="005473CE" w:rsidRPr="008F00C9" w:rsidRDefault="00F52DEB" w:rsidP="00F52DEB">
            <w:pPr>
              <w:spacing w:after="0" w:line="240" w:lineRule="auto"/>
              <w:jc w:val="center"/>
              <w:rPr>
                <w:rFonts w:ascii="Times New Roman" w:hAnsi="Times New Roman" w:cs="Times New Roman"/>
                <w:noProof/>
              </w:rPr>
            </w:pPr>
            <w:r>
              <w:rPr>
                <w:rFonts w:ascii="Times New Roman" w:hAnsi="Times New Roman" w:cs="Times New Roman"/>
                <w:b/>
                <w:bCs/>
                <w:color w:val="000000"/>
                <w:kern w:val="24"/>
              </w:rPr>
              <w:t>Total net assets</w:t>
            </w:r>
            <w:r w:rsidRPr="008F00C9">
              <w:rPr>
                <w:rFonts w:ascii="Times New Roman" w:hAnsi="Times New Roman" w:cs="Times New Roman"/>
                <w:b/>
                <w:bCs/>
                <w:color w:val="000000"/>
                <w:kern w:val="24"/>
              </w:rPr>
              <w:t xml:space="preserve"> </w:t>
            </w:r>
            <w:r>
              <w:rPr>
                <w:rFonts w:ascii="Times New Roman" w:hAnsi="Times New Roman" w:cs="Times New Roman"/>
                <w:b/>
                <w:bCs/>
                <w:color w:val="000000"/>
                <w:kern w:val="24"/>
              </w:rPr>
              <w:t xml:space="preserve">per type of funds – </w:t>
            </w:r>
            <w:r w:rsidR="005473CE" w:rsidRPr="008F00C9">
              <w:rPr>
                <w:rFonts w:ascii="Times New Roman" w:hAnsi="Times New Roman" w:cs="Times New Roman"/>
                <w:b/>
                <w:bCs/>
                <w:noProof/>
              </w:rPr>
              <w:t>ECE</w:t>
            </w:r>
            <w:r>
              <w:rPr>
                <w:rFonts w:ascii="Times New Roman" w:hAnsi="Times New Roman" w:cs="Times New Roman"/>
                <w:b/>
                <w:bCs/>
                <w:noProof/>
              </w:rPr>
              <w:t xml:space="preserve"> overview</w:t>
            </w:r>
            <w:r w:rsidR="005473CE" w:rsidRPr="008F00C9">
              <w:rPr>
                <w:rFonts w:ascii="Times New Roman" w:hAnsi="Times New Roman" w:cs="Times New Roman"/>
                <w:b/>
                <w:bCs/>
                <w:noProof/>
              </w:rPr>
              <w:t xml:space="preserve"> - 2005 - 2014</w:t>
            </w:r>
          </w:p>
        </w:tc>
      </w:tr>
      <w:tr w:rsidR="005473CE" w:rsidRPr="008F00C9" w:rsidTr="005473CE">
        <w:tc>
          <w:tcPr>
            <w:tcW w:w="4836" w:type="dxa"/>
          </w:tcPr>
          <w:p w:rsidR="005473CE" w:rsidRPr="008F00C9" w:rsidRDefault="005473CE" w:rsidP="0019180E">
            <w:pPr>
              <w:spacing w:after="0" w:line="240" w:lineRule="auto"/>
              <w:jc w:val="center"/>
              <w:rPr>
                <w:rFonts w:ascii="Times New Roman" w:hAnsi="Times New Roman" w:cs="Times New Roman"/>
                <w:noProof/>
              </w:rPr>
            </w:pPr>
            <w:r w:rsidRPr="008F00C9">
              <w:rPr>
                <w:rFonts w:ascii="Times New Roman" w:hAnsi="Times New Roman" w:cs="Times New Roman"/>
                <w:noProof/>
              </w:rPr>
              <w:drawing>
                <wp:inline distT="0" distB="0" distL="0" distR="0">
                  <wp:extent cx="2914650" cy="1756032"/>
                  <wp:effectExtent l="19050" t="0" r="0" b="0"/>
                  <wp:docPr id="813"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5"/>
                          <a:srcRect/>
                          <a:stretch>
                            <a:fillRect/>
                          </a:stretch>
                        </pic:blipFill>
                        <pic:spPr bwMode="auto">
                          <a:xfrm>
                            <a:off x="0" y="0"/>
                            <a:ext cx="2917428" cy="1757706"/>
                          </a:xfrm>
                          <a:prstGeom prst="rect">
                            <a:avLst/>
                          </a:prstGeom>
                          <a:noFill/>
                          <a:ln w="9525">
                            <a:noFill/>
                            <a:miter lim="800000"/>
                            <a:headEnd/>
                            <a:tailEnd/>
                          </a:ln>
                        </pic:spPr>
                      </pic:pic>
                    </a:graphicData>
                  </a:graphic>
                </wp:inline>
              </w:drawing>
            </w:r>
          </w:p>
        </w:tc>
        <w:tc>
          <w:tcPr>
            <w:tcW w:w="4721" w:type="dxa"/>
          </w:tcPr>
          <w:p w:rsidR="005473CE" w:rsidRPr="008F00C9" w:rsidRDefault="005473CE" w:rsidP="0019180E">
            <w:pPr>
              <w:spacing w:after="0" w:line="240" w:lineRule="auto"/>
              <w:jc w:val="center"/>
              <w:rPr>
                <w:rFonts w:ascii="Times New Roman" w:hAnsi="Times New Roman" w:cs="Times New Roman"/>
                <w:noProof/>
              </w:rPr>
            </w:pPr>
            <w:r w:rsidRPr="008F00C9">
              <w:rPr>
                <w:rFonts w:ascii="Times New Roman" w:hAnsi="Times New Roman" w:cs="Times New Roman"/>
                <w:noProof/>
              </w:rPr>
              <w:drawing>
                <wp:inline distT="0" distB="0" distL="0" distR="0">
                  <wp:extent cx="2841625" cy="1712035"/>
                  <wp:effectExtent l="19050" t="0" r="0" b="0"/>
                  <wp:docPr id="81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6"/>
                          <a:srcRect/>
                          <a:stretch>
                            <a:fillRect/>
                          </a:stretch>
                        </pic:blipFill>
                        <pic:spPr bwMode="auto">
                          <a:xfrm>
                            <a:off x="0" y="0"/>
                            <a:ext cx="2841625" cy="1712035"/>
                          </a:xfrm>
                          <a:prstGeom prst="rect">
                            <a:avLst/>
                          </a:prstGeom>
                          <a:noFill/>
                          <a:ln w="9525">
                            <a:noFill/>
                            <a:miter lim="800000"/>
                            <a:headEnd/>
                            <a:tailEnd/>
                          </a:ln>
                        </pic:spPr>
                      </pic:pic>
                    </a:graphicData>
                  </a:graphic>
                </wp:inline>
              </w:drawing>
            </w:r>
          </w:p>
        </w:tc>
      </w:tr>
      <w:tr w:rsidR="005473CE" w:rsidRPr="008F00C9" w:rsidTr="005473CE">
        <w:tc>
          <w:tcPr>
            <w:tcW w:w="9557" w:type="dxa"/>
            <w:gridSpan w:val="2"/>
          </w:tcPr>
          <w:p w:rsidR="005473CE" w:rsidRPr="008F00C9" w:rsidRDefault="00F52DEB" w:rsidP="00F52DEB">
            <w:pPr>
              <w:spacing w:after="0" w:line="240" w:lineRule="auto"/>
              <w:jc w:val="center"/>
              <w:rPr>
                <w:rFonts w:ascii="Times New Roman" w:hAnsi="Times New Roman" w:cs="Times New Roman"/>
              </w:rPr>
            </w:pPr>
            <w:r>
              <w:rPr>
                <w:rFonts w:ascii="Times New Roman" w:hAnsi="Times New Roman" w:cs="Times New Roman"/>
                <w:b/>
                <w:bCs/>
                <w:color w:val="000000"/>
                <w:kern w:val="24"/>
              </w:rPr>
              <w:t>Total net assets</w:t>
            </w:r>
            <w:r w:rsidRPr="008F00C9">
              <w:rPr>
                <w:rFonts w:ascii="Times New Roman" w:hAnsi="Times New Roman" w:cs="Times New Roman"/>
                <w:b/>
                <w:bCs/>
                <w:color w:val="000000"/>
                <w:kern w:val="24"/>
              </w:rPr>
              <w:t xml:space="preserve"> </w:t>
            </w:r>
            <w:r>
              <w:rPr>
                <w:rFonts w:ascii="Times New Roman" w:hAnsi="Times New Roman" w:cs="Times New Roman"/>
                <w:b/>
                <w:bCs/>
                <w:color w:val="000000"/>
                <w:kern w:val="24"/>
              </w:rPr>
              <w:t>per type of funds – Romanian market overview</w:t>
            </w:r>
          </w:p>
        </w:tc>
      </w:tr>
      <w:tr w:rsidR="005473CE" w:rsidRPr="008F00C9" w:rsidTr="005473CE">
        <w:tc>
          <w:tcPr>
            <w:tcW w:w="4836" w:type="dxa"/>
          </w:tcPr>
          <w:p w:rsidR="005473CE" w:rsidRPr="008F00C9" w:rsidRDefault="005473CE" w:rsidP="0019180E">
            <w:pPr>
              <w:spacing w:after="0" w:line="240" w:lineRule="auto"/>
              <w:jc w:val="center"/>
              <w:rPr>
                <w:rFonts w:ascii="Times New Roman" w:hAnsi="Times New Roman" w:cs="Times New Roman"/>
              </w:rPr>
            </w:pPr>
            <w:r w:rsidRPr="008F00C9">
              <w:rPr>
                <w:rFonts w:ascii="Times New Roman" w:hAnsi="Times New Roman" w:cs="Times New Roman"/>
                <w:noProof/>
              </w:rPr>
              <w:drawing>
                <wp:inline distT="0" distB="0" distL="0" distR="0">
                  <wp:extent cx="2838450" cy="1710123"/>
                  <wp:effectExtent l="19050" t="0" r="0" b="0"/>
                  <wp:docPr id="818"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7"/>
                          <a:srcRect/>
                          <a:stretch>
                            <a:fillRect/>
                          </a:stretch>
                        </pic:blipFill>
                        <pic:spPr bwMode="auto">
                          <a:xfrm>
                            <a:off x="0" y="0"/>
                            <a:ext cx="2838450" cy="1710123"/>
                          </a:xfrm>
                          <a:prstGeom prst="rect">
                            <a:avLst/>
                          </a:prstGeom>
                          <a:noFill/>
                          <a:ln w="9525">
                            <a:noFill/>
                            <a:miter lim="800000"/>
                            <a:headEnd/>
                            <a:tailEnd/>
                          </a:ln>
                        </pic:spPr>
                      </pic:pic>
                    </a:graphicData>
                  </a:graphic>
                </wp:inline>
              </w:drawing>
            </w:r>
          </w:p>
        </w:tc>
        <w:tc>
          <w:tcPr>
            <w:tcW w:w="4721" w:type="dxa"/>
          </w:tcPr>
          <w:p w:rsidR="005473CE" w:rsidRPr="008F00C9" w:rsidRDefault="005473CE" w:rsidP="0019180E">
            <w:pPr>
              <w:keepNext/>
              <w:spacing w:after="0" w:line="240" w:lineRule="auto"/>
              <w:jc w:val="center"/>
              <w:rPr>
                <w:rFonts w:ascii="Times New Roman" w:hAnsi="Times New Roman" w:cs="Times New Roman"/>
              </w:rPr>
            </w:pPr>
            <w:r w:rsidRPr="008F00C9">
              <w:rPr>
                <w:rFonts w:ascii="Times New Roman" w:hAnsi="Times New Roman" w:cs="Times New Roman"/>
                <w:noProof/>
              </w:rPr>
              <w:drawing>
                <wp:inline distT="0" distB="0" distL="0" distR="0">
                  <wp:extent cx="2733675" cy="1646997"/>
                  <wp:effectExtent l="19050" t="0" r="9525" b="0"/>
                  <wp:docPr id="819"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8"/>
                          <a:srcRect/>
                          <a:stretch>
                            <a:fillRect/>
                          </a:stretch>
                        </pic:blipFill>
                        <pic:spPr bwMode="auto">
                          <a:xfrm>
                            <a:off x="0" y="0"/>
                            <a:ext cx="2733675" cy="1646997"/>
                          </a:xfrm>
                          <a:prstGeom prst="rect">
                            <a:avLst/>
                          </a:prstGeom>
                          <a:noFill/>
                          <a:ln w="9525">
                            <a:noFill/>
                            <a:miter lim="800000"/>
                            <a:headEnd/>
                            <a:tailEnd/>
                          </a:ln>
                        </pic:spPr>
                      </pic:pic>
                    </a:graphicData>
                  </a:graphic>
                </wp:inline>
              </w:drawing>
            </w:r>
          </w:p>
        </w:tc>
      </w:tr>
    </w:tbl>
    <w:p w:rsidR="005473CE" w:rsidRPr="008F00C9" w:rsidRDefault="00F52DEB" w:rsidP="005473CE">
      <w:pPr>
        <w:jc w:val="center"/>
        <w:rPr>
          <w:rFonts w:ascii="Times New Roman" w:hAnsi="Times New Roman" w:cs="Times New Roman"/>
          <w:sz w:val="24"/>
          <w:szCs w:val="24"/>
        </w:rPr>
      </w:pPr>
      <w:r>
        <w:rPr>
          <w:rFonts w:ascii="Times New Roman" w:hAnsi="Times New Roman" w:cs="Times New Roman"/>
          <w:sz w:val="24"/>
          <w:szCs w:val="24"/>
        </w:rPr>
        <w:t>Source</w:t>
      </w:r>
      <w:r w:rsidR="005473CE" w:rsidRPr="008F00C9">
        <w:rPr>
          <w:rFonts w:ascii="Times New Roman" w:hAnsi="Times New Roman" w:cs="Times New Roman"/>
          <w:sz w:val="24"/>
          <w:szCs w:val="24"/>
        </w:rPr>
        <w:t xml:space="preserve">: </w:t>
      </w:r>
      <w:r>
        <w:rPr>
          <w:rFonts w:ascii="Times New Roman" w:hAnsi="Times New Roman" w:cs="Times New Roman"/>
          <w:sz w:val="24"/>
          <w:szCs w:val="24"/>
        </w:rPr>
        <w:t>author’s own processing using</w:t>
      </w:r>
      <w:r w:rsidR="005473CE" w:rsidRPr="008F00C9">
        <w:rPr>
          <w:rFonts w:ascii="Times New Roman" w:hAnsi="Times New Roman" w:cs="Times New Roman"/>
          <w:sz w:val="24"/>
          <w:szCs w:val="24"/>
        </w:rPr>
        <w:t xml:space="preserve"> ICI, EFAMA și AAF</w:t>
      </w:r>
      <w:r>
        <w:rPr>
          <w:rFonts w:ascii="Times New Roman" w:hAnsi="Times New Roman" w:cs="Times New Roman"/>
          <w:sz w:val="24"/>
          <w:szCs w:val="24"/>
        </w:rPr>
        <w:t xml:space="preserve"> data</w:t>
      </w:r>
      <w:r w:rsidR="005473CE" w:rsidRPr="008F00C9">
        <w:rPr>
          <w:rFonts w:ascii="Times New Roman" w:hAnsi="Times New Roman" w:cs="Times New Roman"/>
          <w:sz w:val="24"/>
          <w:szCs w:val="24"/>
        </w:rPr>
        <w:t xml:space="preserve"> (</w:t>
      </w:r>
      <w:r>
        <w:rPr>
          <w:rFonts w:ascii="Times New Roman" w:hAnsi="Times New Roman" w:cs="Times New Roman"/>
          <w:sz w:val="24"/>
          <w:szCs w:val="24"/>
        </w:rPr>
        <w:t>Appendix</w:t>
      </w:r>
      <w:r w:rsidR="005473CE" w:rsidRPr="008F00C9">
        <w:rPr>
          <w:rFonts w:ascii="Times New Roman" w:hAnsi="Times New Roman" w:cs="Times New Roman"/>
          <w:sz w:val="24"/>
          <w:szCs w:val="24"/>
        </w:rPr>
        <w:t xml:space="preserve"> 27)</w:t>
      </w:r>
    </w:p>
    <w:p w:rsidR="0051007A" w:rsidRDefault="0051007A" w:rsidP="0051007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With different amplitudes</w:t>
      </w:r>
      <w:r w:rsidRPr="0051007A">
        <w:rPr>
          <w:rFonts w:ascii="Times New Roman" w:hAnsi="Times New Roman" w:cs="Times New Roman"/>
          <w:sz w:val="24"/>
          <w:szCs w:val="24"/>
        </w:rPr>
        <w:t xml:space="preserve">, </w:t>
      </w:r>
      <w:r>
        <w:rPr>
          <w:rFonts w:ascii="Times New Roman" w:hAnsi="Times New Roman" w:cs="Times New Roman"/>
          <w:sz w:val="24"/>
          <w:szCs w:val="24"/>
        </w:rPr>
        <w:t xml:space="preserve">the above </w:t>
      </w:r>
      <w:r w:rsidRPr="0051007A">
        <w:rPr>
          <w:rFonts w:ascii="Times New Roman" w:hAnsi="Times New Roman" w:cs="Times New Roman"/>
          <w:sz w:val="24"/>
          <w:szCs w:val="24"/>
        </w:rPr>
        <w:t xml:space="preserve">records </w:t>
      </w:r>
      <w:r>
        <w:rPr>
          <w:rFonts w:ascii="Times New Roman" w:hAnsi="Times New Roman" w:cs="Times New Roman"/>
          <w:sz w:val="24"/>
          <w:szCs w:val="24"/>
        </w:rPr>
        <w:t>presents a W</w:t>
      </w:r>
      <w:r w:rsidRPr="0051007A">
        <w:rPr>
          <w:rFonts w:ascii="Times New Roman" w:hAnsi="Times New Roman" w:cs="Times New Roman"/>
          <w:sz w:val="24"/>
          <w:szCs w:val="24"/>
        </w:rPr>
        <w:t xml:space="preserve"> trend </w:t>
      </w:r>
      <w:r>
        <w:rPr>
          <w:rFonts w:ascii="Times New Roman" w:hAnsi="Times New Roman" w:cs="Times New Roman"/>
          <w:sz w:val="24"/>
          <w:szCs w:val="24"/>
        </w:rPr>
        <w:t xml:space="preserve">for all </w:t>
      </w:r>
      <w:r w:rsidRPr="0051007A">
        <w:rPr>
          <w:rFonts w:ascii="Times New Roman" w:hAnsi="Times New Roman" w:cs="Times New Roman"/>
          <w:sz w:val="24"/>
          <w:szCs w:val="24"/>
        </w:rPr>
        <w:t xml:space="preserve">investment funds in the </w:t>
      </w:r>
      <w:r>
        <w:rPr>
          <w:rFonts w:ascii="Times New Roman" w:hAnsi="Times New Roman" w:cs="Times New Roman"/>
          <w:sz w:val="24"/>
          <w:szCs w:val="24"/>
        </w:rPr>
        <w:t xml:space="preserve">same </w:t>
      </w:r>
      <w:r w:rsidRPr="0051007A">
        <w:rPr>
          <w:rFonts w:ascii="Times New Roman" w:hAnsi="Times New Roman" w:cs="Times New Roman"/>
          <w:sz w:val="24"/>
          <w:szCs w:val="24"/>
        </w:rPr>
        <w:t xml:space="preserve">period </w:t>
      </w:r>
      <w:r>
        <w:rPr>
          <w:rFonts w:ascii="Times New Roman" w:hAnsi="Times New Roman" w:cs="Times New Roman"/>
          <w:sz w:val="24"/>
          <w:szCs w:val="24"/>
        </w:rPr>
        <w:t xml:space="preserve">of time i.e. </w:t>
      </w:r>
      <w:r w:rsidRPr="0051007A">
        <w:rPr>
          <w:rFonts w:ascii="Times New Roman" w:hAnsi="Times New Roman" w:cs="Times New Roman"/>
          <w:sz w:val="24"/>
          <w:szCs w:val="24"/>
        </w:rPr>
        <w:t>2008-2011</w:t>
      </w:r>
      <w:r>
        <w:rPr>
          <w:rFonts w:ascii="Times New Roman" w:hAnsi="Times New Roman" w:cs="Times New Roman"/>
          <w:sz w:val="24"/>
          <w:szCs w:val="24"/>
        </w:rPr>
        <w:t xml:space="preserve"> for global and European perspective</w:t>
      </w:r>
      <w:r w:rsidRPr="0051007A">
        <w:rPr>
          <w:rFonts w:ascii="Times New Roman" w:hAnsi="Times New Roman" w:cs="Times New Roman"/>
          <w:sz w:val="24"/>
          <w:szCs w:val="24"/>
        </w:rPr>
        <w:t xml:space="preserve">, while </w:t>
      </w:r>
      <w:r>
        <w:rPr>
          <w:rFonts w:ascii="Times New Roman" w:hAnsi="Times New Roman" w:cs="Times New Roman"/>
          <w:sz w:val="24"/>
          <w:szCs w:val="24"/>
        </w:rPr>
        <w:t xml:space="preserve">in case of </w:t>
      </w:r>
      <w:r w:rsidRPr="0051007A">
        <w:rPr>
          <w:rFonts w:ascii="Times New Roman" w:hAnsi="Times New Roman" w:cs="Times New Roman"/>
          <w:sz w:val="24"/>
          <w:szCs w:val="24"/>
        </w:rPr>
        <w:t>CEE and Romania</w:t>
      </w:r>
      <w:r>
        <w:rPr>
          <w:rFonts w:ascii="Times New Roman" w:hAnsi="Times New Roman" w:cs="Times New Roman"/>
          <w:sz w:val="24"/>
          <w:szCs w:val="24"/>
        </w:rPr>
        <w:t>’s analysis</w:t>
      </w:r>
      <w:r w:rsidRPr="0051007A">
        <w:rPr>
          <w:rFonts w:ascii="Times New Roman" w:hAnsi="Times New Roman" w:cs="Times New Roman"/>
          <w:sz w:val="24"/>
          <w:szCs w:val="24"/>
        </w:rPr>
        <w:t xml:space="preserve"> destabilizing impact </w:t>
      </w:r>
      <w:r>
        <w:rPr>
          <w:rFonts w:ascii="Times New Roman" w:hAnsi="Times New Roman" w:cs="Times New Roman"/>
          <w:sz w:val="24"/>
          <w:szCs w:val="24"/>
        </w:rPr>
        <w:t>was registered during</w:t>
      </w:r>
      <w:r w:rsidRPr="0051007A">
        <w:rPr>
          <w:rFonts w:ascii="Times New Roman" w:hAnsi="Times New Roman" w:cs="Times New Roman"/>
          <w:sz w:val="24"/>
          <w:szCs w:val="24"/>
        </w:rPr>
        <w:t xml:space="preserve"> 2012. Taking advantage of </w:t>
      </w:r>
      <w:r>
        <w:rPr>
          <w:rFonts w:ascii="Times New Roman" w:hAnsi="Times New Roman" w:cs="Times New Roman"/>
          <w:sz w:val="24"/>
          <w:szCs w:val="24"/>
        </w:rPr>
        <w:t xml:space="preserve">the </w:t>
      </w:r>
      <w:r w:rsidRPr="0051007A">
        <w:rPr>
          <w:rFonts w:ascii="Times New Roman" w:hAnsi="Times New Roman" w:cs="Times New Roman"/>
          <w:sz w:val="24"/>
          <w:szCs w:val="24"/>
        </w:rPr>
        <w:t xml:space="preserve">expanding </w:t>
      </w:r>
      <w:r>
        <w:rPr>
          <w:rFonts w:ascii="Times New Roman" w:hAnsi="Times New Roman" w:cs="Times New Roman"/>
          <w:sz w:val="24"/>
          <w:szCs w:val="24"/>
        </w:rPr>
        <w:t>equity market</w:t>
      </w:r>
      <w:r w:rsidRPr="0051007A">
        <w:rPr>
          <w:rFonts w:ascii="Times New Roman" w:hAnsi="Times New Roman" w:cs="Times New Roman"/>
          <w:sz w:val="24"/>
          <w:szCs w:val="24"/>
        </w:rPr>
        <w:t xml:space="preserve">, </w:t>
      </w:r>
      <w:r>
        <w:rPr>
          <w:rFonts w:ascii="Times New Roman" w:hAnsi="Times New Roman" w:cs="Times New Roman"/>
          <w:sz w:val="24"/>
          <w:szCs w:val="24"/>
        </w:rPr>
        <w:t>Romanian</w:t>
      </w:r>
      <w:r w:rsidRPr="0051007A">
        <w:rPr>
          <w:rFonts w:ascii="Times New Roman" w:hAnsi="Times New Roman" w:cs="Times New Roman"/>
          <w:sz w:val="24"/>
          <w:szCs w:val="24"/>
        </w:rPr>
        <w:t xml:space="preserve"> </w:t>
      </w:r>
      <w:r>
        <w:rPr>
          <w:rFonts w:ascii="Times New Roman" w:hAnsi="Times New Roman" w:cs="Times New Roman"/>
          <w:sz w:val="24"/>
          <w:szCs w:val="24"/>
        </w:rPr>
        <w:t>equity</w:t>
      </w:r>
      <w:r w:rsidRPr="0051007A">
        <w:rPr>
          <w:rFonts w:ascii="Times New Roman" w:hAnsi="Times New Roman" w:cs="Times New Roman"/>
          <w:sz w:val="24"/>
          <w:szCs w:val="24"/>
        </w:rPr>
        <w:t xml:space="preserve"> funds were favorites in </w:t>
      </w:r>
      <w:r>
        <w:rPr>
          <w:rFonts w:ascii="Times New Roman" w:hAnsi="Times New Roman" w:cs="Times New Roman"/>
          <w:sz w:val="24"/>
          <w:szCs w:val="24"/>
        </w:rPr>
        <w:t>investors’ allocations. Thus</w:t>
      </w:r>
      <w:r w:rsidRPr="0051007A">
        <w:rPr>
          <w:rFonts w:ascii="Times New Roman" w:hAnsi="Times New Roman" w:cs="Times New Roman"/>
          <w:sz w:val="24"/>
          <w:szCs w:val="24"/>
        </w:rPr>
        <w:t>, it appears that the most dynamic sector of industry - equity funds - showed a significant tighte</w:t>
      </w:r>
      <w:r>
        <w:rPr>
          <w:rFonts w:ascii="Times New Roman" w:hAnsi="Times New Roman" w:cs="Times New Roman"/>
          <w:sz w:val="24"/>
          <w:szCs w:val="24"/>
        </w:rPr>
        <w:t>ning in 2007-2009 and 2011-2012</w:t>
      </w:r>
      <w:r w:rsidRPr="0051007A">
        <w:rPr>
          <w:rFonts w:ascii="Times New Roman" w:hAnsi="Times New Roman" w:cs="Times New Roman"/>
          <w:sz w:val="24"/>
          <w:szCs w:val="24"/>
        </w:rPr>
        <w:t>, in conjunction with the relaunch of low-risk funds (mone</w:t>
      </w:r>
      <w:r>
        <w:rPr>
          <w:rFonts w:ascii="Times New Roman" w:hAnsi="Times New Roman" w:cs="Times New Roman"/>
          <w:sz w:val="24"/>
          <w:szCs w:val="24"/>
        </w:rPr>
        <w:t>y market</w:t>
      </w:r>
      <w:r w:rsidRPr="0051007A">
        <w:rPr>
          <w:rFonts w:ascii="Times New Roman" w:hAnsi="Times New Roman" w:cs="Times New Roman"/>
          <w:sz w:val="24"/>
          <w:szCs w:val="24"/>
        </w:rPr>
        <w:t xml:space="preserve"> and bond </w:t>
      </w:r>
      <w:r>
        <w:rPr>
          <w:rFonts w:ascii="Times New Roman" w:hAnsi="Times New Roman" w:cs="Times New Roman"/>
          <w:sz w:val="24"/>
          <w:szCs w:val="24"/>
        </w:rPr>
        <w:t>funds</w:t>
      </w:r>
      <w:r w:rsidRPr="0051007A">
        <w:rPr>
          <w:rFonts w:ascii="Times New Roman" w:hAnsi="Times New Roman" w:cs="Times New Roman"/>
          <w:sz w:val="24"/>
          <w:szCs w:val="24"/>
        </w:rPr>
        <w:t>) as alternatives to</w:t>
      </w:r>
      <w:r>
        <w:rPr>
          <w:rFonts w:ascii="Times New Roman" w:hAnsi="Times New Roman" w:cs="Times New Roman"/>
          <w:sz w:val="24"/>
          <w:szCs w:val="24"/>
        </w:rPr>
        <w:t xml:space="preserve"> preserve investors' portfolios</w:t>
      </w:r>
      <w:r w:rsidRPr="0051007A">
        <w:rPr>
          <w:rFonts w:ascii="Times New Roman" w:hAnsi="Times New Roman" w:cs="Times New Roman"/>
          <w:sz w:val="24"/>
          <w:szCs w:val="24"/>
        </w:rPr>
        <w:t>.</w:t>
      </w:r>
    </w:p>
    <w:p w:rsidR="0051007A" w:rsidRDefault="0051007A" w:rsidP="0051007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Summarizing the conducted analysis of the Romanian mutual fund industry’s indicators during period 2005-2014, the results are the following:</w:t>
      </w:r>
    </w:p>
    <w:p w:rsidR="003951E6" w:rsidRPr="003951E6" w:rsidRDefault="003951E6" w:rsidP="003951E6">
      <w:pPr>
        <w:pStyle w:val="ListParagraph"/>
        <w:numPr>
          <w:ilvl w:val="0"/>
          <w:numId w:val="13"/>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a</w:t>
      </w:r>
      <w:r w:rsidRPr="003951E6">
        <w:rPr>
          <w:rFonts w:ascii="Times New Roman" w:hAnsi="Times New Roman" w:cs="Times New Roman"/>
          <w:sz w:val="24"/>
          <w:szCs w:val="24"/>
        </w:rPr>
        <w:t xml:space="preserve">verage investment per investor in the total open-end funds was around 29 thousands RON, with 17% greater than the average achieved in 2010; </w:t>
      </w:r>
    </w:p>
    <w:p w:rsidR="003951E6" w:rsidRDefault="003951E6" w:rsidP="003951E6">
      <w:pPr>
        <w:pStyle w:val="ListParagraph"/>
        <w:numPr>
          <w:ilvl w:val="0"/>
          <w:numId w:val="13"/>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n</w:t>
      </w:r>
      <w:r w:rsidRPr="003951E6">
        <w:rPr>
          <w:rFonts w:ascii="Times New Roman" w:hAnsi="Times New Roman" w:cs="Times New Roman"/>
          <w:sz w:val="24"/>
          <w:szCs w:val="24"/>
        </w:rPr>
        <w:t xml:space="preserve">et capital </w:t>
      </w:r>
      <w:r>
        <w:rPr>
          <w:rFonts w:ascii="Times New Roman" w:hAnsi="Times New Roman" w:cs="Times New Roman"/>
          <w:sz w:val="24"/>
          <w:szCs w:val="24"/>
        </w:rPr>
        <w:t>in</w:t>
      </w:r>
      <w:r w:rsidRPr="003951E6">
        <w:rPr>
          <w:rFonts w:ascii="Times New Roman" w:hAnsi="Times New Roman" w:cs="Times New Roman"/>
          <w:sz w:val="24"/>
          <w:szCs w:val="24"/>
        </w:rPr>
        <w:t xml:space="preserve">flow was </w:t>
      </w:r>
      <w:r>
        <w:rPr>
          <w:rFonts w:ascii="Times New Roman" w:hAnsi="Times New Roman" w:cs="Times New Roman"/>
          <w:sz w:val="24"/>
          <w:szCs w:val="24"/>
        </w:rPr>
        <w:t xml:space="preserve">at </w:t>
      </w:r>
      <w:r w:rsidRPr="003951E6">
        <w:rPr>
          <w:rFonts w:ascii="Times New Roman" w:hAnsi="Times New Roman" w:cs="Times New Roman"/>
          <w:sz w:val="24"/>
          <w:szCs w:val="24"/>
        </w:rPr>
        <w:t>993 million</w:t>
      </w:r>
      <w:r>
        <w:rPr>
          <w:rFonts w:ascii="Times New Roman" w:hAnsi="Times New Roman" w:cs="Times New Roman"/>
          <w:sz w:val="24"/>
          <w:szCs w:val="24"/>
        </w:rPr>
        <w:t xml:space="preserve"> lei</w:t>
      </w:r>
      <w:r w:rsidRPr="003951E6">
        <w:rPr>
          <w:rFonts w:ascii="Times New Roman" w:hAnsi="Times New Roman" w:cs="Times New Roman"/>
          <w:sz w:val="24"/>
          <w:szCs w:val="24"/>
        </w:rPr>
        <w:t xml:space="preserve">, realizing amid underwritings of over RON 5.727 million and repurchases of over 4.734 million lei; </w:t>
      </w:r>
    </w:p>
    <w:p w:rsidR="00895681" w:rsidRDefault="003951E6" w:rsidP="003951E6">
      <w:pPr>
        <w:pStyle w:val="ListParagraph"/>
        <w:numPr>
          <w:ilvl w:val="0"/>
          <w:numId w:val="13"/>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during 2013-2014, within the</w:t>
      </w:r>
      <w:r w:rsidRPr="003951E6">
        <w:rPr>
          <w:rFonts w:ascii="Times New Roman" w:hAnsi="Times New Roman" w:cs="Times New Roman"/>
          <w:sz w:val="24"/>
          <w:szCs w:val="24"/>
        </w:rPr>
        <w:t xml:space="preserve"> Romanian capital market there were 60 </w:t>
      </w:r>
      <w:r>
        <w:rPr>
          <w:rFonts w:ascii="Times New Roman" w:hAnsi="Times New Roman" w:cs="Times New Roman"/>
          <w:sz w:val="24"/>
          <w:szCs w:val="24"/>
        </w:rPr>
        <w:t xml:space="preserve">active mutual funds </w:t>
      </w:r>
      <w:r w:rsidRPr="003951E6">
        <w:rPr>
          <w:rFonts w:ascii="Times New Roman" w:hAnsi="Times New Roman" w:cs="Times New Roman"/>
          <w:sz w:val="24"/>
          <w:szCs w:val="24"/>
        </w:rPr>
        <w:t xml:space="preserve"> of which 20 bonds</w:t>
      </w:r>
      <w:r>
        <w:rPr>
          <w:rFonts w:ascii="Times New Roman" w:hAnsi="Times New Roman" w:cs="Times New Roman"/>
          <w:sz w:val="24"/>
          <w:szCs w:val="24"/>
        </w:rPr>
        <w:t xml:space="preserve"> funds</w:t>
      </w:r>
      <w:r w:rsidRPr="003951E6">
        <w:rPr>
          <w:rFonts w:ascii="Times New Roman" w:hAnsi="Times New Roman" w:cs="Times New Roman"/>
          <w:sz w:val="24"/>
          <w:szCs w:val="24"/>
        </w:rPr>
        <w:t>, 18 diversified</w:t>
      </w:r>
      <w:r>
        <w:rPr>
          <w:rFonts w:ascii="Times New Roman" w:hAnsi="Times New Roman" w:cs="Times New Roman"/>
          <w:sz w:val="24"/>
          <w:szCs w:val="24"/>
        </w:rPr>
        <w:t xml:space="preserve"> funds, </w:t>
      </w:r>
      <w:r w:rsidRPr="003951E6">
        <w:rPr>
          <w:rFonts w:ascii="Times New Roman" w:hAnsi="Times New Roman" w:cs="Times New Roman"/>
          <w:sz w:val="24"/>
          <w:szCs w:val="24"/>
        </w:rPr>
        <w:t xml:space="preserve">17 </w:t>
      </w:r>
      <w:r>
        <w:rPr>
          <w:rFonts w:ascii="Times New Roman" w:hAnsi="Times New Roman" w:cs="Times New Roman"/>
          <w:sz w:val="24"/>
          <w:szCs w:val="24"/>
        </w:rPr>
        <w:t xml:space="preserve">equity funds, 1 money market funds </w:t>
      </w:r>
      <w:r w:rsidRPr="003951E6">
        <w:rPr>
          <w:rFonts w:ascii="Times New Roman" w:hAnsi="Times New Roman" w:cs="Times New Roman"/>
          <w:sz w:val="24"/>
          <w:szCs w:val="24"/>
        </w:rPr>
        <w:t xml:space="preserve">and </w:t>
      </w:r>
      <w:r w:rsidR="00895681">
        <w:rPr>
          <w:rFonts w:ascii="Times New Roman" w:hAnsi="Times New Roman" w:cs="Times New Roman"/>
          <w:sz w:val="24"/>
          <w:szCs w:val="24"/>
        </w:rPr>
        <w:t xml:space="preserve">as well, </w:t>
      </w:r>
      <w:r w:rsidRPr="003951E6">
        <w:rPr>
          <w:rFonts w:ascii="Times New Roman" w:hAnsi="Times New Roman" w:cs="Times New Roman"/>
          <w:sz w:val="24"/>
          <w:szCs w:val="24"/>
        </w:rPr>
        <w:t>other</w:t>
      </w:r>
      <w:r w:rsidR="00895681">
        <w:rPr>
          <w:rFonts w:ascii="Times New Roman" w:hAnsi="Times New Roman" w:cs="Times New Roman"/>
          <w:sz w:val="24"/>
          <w:szCs w:val="24"/>
        </w:rPr>
        <w:t xml:space="preserve"> funds</w:t>
      </w:r>
      <w:r w:rsidRPr="003951E6">
        <w:rPr>
          <w:rFonts w:ascii="Times New Roman" w:hAnsi="Times New Roman" w:cs="Times New Roman"/>
          <w:sz w:val="24"/>
          <w:szCs w:val="24"/>
        </w:rPr>
        <w:t xml:space="preserve"> classified under "other funds"; </w:t>
      </w:r>
    </w:p>
    <w:p w:rsidR="00895681" w:rsidRDefault="00895681" w:rsidP="003951E6">
      <w:pPr>
        <w:pStyle w:val="ListParagraph"/>
        <w:numPr>
          <w:ilvl w:val="0"/>
          <w:numId w:val="13"/>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t</w:t>
      </w:r>
      <w:r w:rsidR="003951E6" w:rsidRPr="003951E6">
        <w:rPr>
          <w:rFonts w:ascii="Times New Roman" w:hAnsi="Times New Roman" w:cs="Times New Roman"/>
          <w:sz w:val="24"/>
          <w:szCs w:val="24"/>
        </w:rPr>
        <w:t xml:space="preserve">he number of investors in </w:t>
      </w:r>
      <w:r>
        <w:rPr>
          <w:rFonts w:ascii="Times New Roman" w:hAnsi="Times New Roman" w:cs="Times New Roman"/>
          <w:sz w:val="24"/>
          <w:szCs w:val="24"/>
        </w:rPr>
        <w:t>domestic mutual funds</w:t>
      </w:r>
      <w:r w:rsidR="003951E6" w:rsidRPr="003951E6">
        <w:rPr>
          <w:rFonts w:ascii="Times New Roman" w:hAnsi="Times New Roman" w:cs="Times New Roman"/>
          <w:sz w:val="24"/>
          <w:szCs w:val="24"/>
        </w:rPr>
        <w:t xml:space="preserve"> has </w:t>
      </w:r>
      <w:r w:rsidRPr="003951E6">
        <w:rPr>
          <w:rFonts w:ascii="Times New Roman" w:hAnsi="Times New Roman" w:cs="Times New Roman"/>
          <w:sz w:val="24"/>
          <w:szCs w:val="24"/>
        </w:rPr>
        <w:t xml:space="preserve">significantly </w:t>
      </w:r>
      <w:r w:rsidR="003951E6" w:rsidRPr="003951E6">
        <w:rPr>
          <w:rFonts w:ascii="Times New Roman" w:hAnsi="Times New Roman" w:cs="Times New Roman"/>
          <w:sz w:val="24"/>
          <w:szCs w:val="24"/>
        </w:rPr>
        <w:t>increased in recent y</w:t>
      </w:r>
      <w:r>
        <w:rPr>
          <w:rFonts w:ascii="Times New Roman" w:hAnsi="Times New Roman" w:cs="Times New Roman"/>
          <w:sz w:val="24"/>
          <w:szCs w:val="24"/>
        </w:rPr>
        <w:t>ears, reaching the level of 271.</w:t>
      </w:r>
      <w:r w:rsidR="003951E6" w:rsidRPr="003951E6">
        <w:rPr>
          <w:rFonts w:ascii="Times New Roman" w:hAnsi="Times New Roman" w:cs="Times New Roman"/>
          <w:sz w:val="24"/>
          <w:szCs w:val="24"/>
        </w:rPr>
        <w:t xml:space="preserve">547 investors in 2013, with 12.46% more than in 2012. Of these, 9822 were institutional investors, increasing by 10.22% compared by 2012; </w:t>
      </w:r>
    </w:p>
    <w:p w:rsidR="00895681" w:rsidRDefault="00895681" w:rsidP="003951E6">
      <w:pPr>
        <w:pStyle w:val="ListParagraph"/>
        <w:numPr>
          <w:ilvl w:val="0"/>
          <w:numId w:val="13"/>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t</w:t>
      </w:r>
      <w:r w:rsidR="003951E6" w:rsidRPr="003951E6">
        <w:rPr>
          <w:rFonts w:ascii="Times New Roman" w:hAnsi="Times New Roman" w:cs="Times New Roman"/>
          <w:sz w:val="24"/>
          <w:szCs w:val="24"/>
        </w:rPr>
        <w:t xml:space="preserve">he </w:t>
      </w:r>
      <w:r>
        <w:rPr>
          <w:rFonts w:ascii="Times New Roman" w:hAnsi="Times New Roman" w:cs="Times New Roman"/>
          <w:sz w:val="24"/>
          <w:szCs w:val="24"/>
        </w:rPr>
        <w:t>total net assets amount</w:t>
      </w:r>
      <w:r w:rsidR="003951E6" w:rsidRPr="003951E6">
        <w:rPr>
          <w:rFonts w:ascii="Times New Roman" w:hAnsi="Times New Roman" w:cs="Times New Roman"/>
          <w:sz w:val="24"/>
          <w:szCs w:val="24"/>
        </w:rPr>
        <w:t xml:space="preserve"> of </w:t>
      </w:r>
      <w:r>
        <w:rPr>
          <w:rFonts w:ascii="Times New Roman" w:hAnsi="Times New Roman" w:cs="Times New Roman"/>
          <w:sz w:val="24"/>
          <w:szCs w:val="24"/>
        </w:rPr>
        <w:t>domestic mutual funds</w:t>
      </w:r>
      <w:r w:rsidR="003951E6" w:rsidRPr="003951E6">
        <w:rPr>
          <w:rFonts w:ascii="Times New Roman" w:hAnsi="Times New Roman" w:cs="Times New Roman"/>
          <w:sz w:val="24"/>
          <w:szCs w:val="24"/>
        </w:rPr>
        <w:t xml:space="preserve"> by the end of 2011 was 6.780 million, which means an increase of 19.11% from the level recorded at the end of 2010; </w:t>
      </w:r>
    </w:p>
    <w:p w:rsidR="00895681" w:rsidRDefault="00895681" w:rsidP="003951E6">
      <w:pPr>
        <w:pStyle w:val="ListParagraph"/>
        <w:numPr>
          <w:ilvl w:val="0"/>
          <w:numId w:val="13"/>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t</w:t>
      </w:r>
      <w:r w:rsidR="003951E6" w:rsidRPr="003951E6">
        <w:rPr>
          <w:rFonts w:ascii="Times New Roman" w:hAnsi="Times New Roman" w:cs="Times New Roman"/>
          <w:sz w:val="24"/>
          <w:szCs w:val="24"/>
        </w:rPr>
        <w:t xml:space="preserve">he growth rate of total assets </w:t>
      </w:r>
      <w:r>
        <w:rPr>
          <w:rFonts w:ascii="Times New Roman" w:hAnsi="Times New Roman" w:cs="Times New Roman"/>
          <w:sz w:val="24"/>
          <w:szCs w:val="24"/>
        </w:rPr>
        <w:t>of mutual funds</w:t>
      </w:r>
      <w:r w:rsidR="003951E6" w:rsidRPr="003951E6">
        <w:rPr>
          <w:rFonts w:ascii="Times New Roman" w:hAnsi="Times New Roman" w:cs="Times New Roman"/>
          <w:sz w:val="24"/>
          <w:szCs w:val="24"/>
        </w:rPr>
        <w:t xml:space="preserve"> experienced the same dynamic that the entire market, making it dominate </w:t>
      </w:r>
      <w:r>
        <w:rPr>
          <w:rFonts w:ascii="Times New Roman" w:hAnsi="Times New Roman" w:cs="Times New Roman"/>
          <w:sz w:val="24"/>
          <w:szCs w:val="24"/>
        </w:rPr>
        <w:t>of the market</w:t>
      </w:r>
      <w:r w:rsidR="003951E6" w:rsidRPr="003951E6">
        <w:rPr>
          <w:rFonts w:ascii="Times New Roman" w:hAnsi="Times New Roman" w:cs="Times New Roman"/>
          <w:sz w:val="24"/>
          <w:szCs w:val="24"/>
        </w:rPr>
        <w:t>. Here we must recognize the significant share held by the five SIFs;</w:t>
      </w:r>
    </w:p>
    <w:p w:rsidR="00895681" w:rsidRDefault="00895681" w:rsidP="003951E6">
      <w:pPr>
        <w:pStyle w:val="ListParagraph"/>
        <w:numPr>
          <w:ilvl w:val="0"/>
          <w:numId w:val="13"/>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u</w:t>
      </w:r>
      <w:r w:rsidR="003951E6" w:rsidRPr="003951E6">
        <w:rPr>
          <w:rFonts w:ascii="Times New Roman" w:hAnsi="Times New Roman" w:cs="Times New Roman"/>
          <w:sz w:val="24"/>
          <w:szCs w:val="24"/>
        </w:rPr>
        <w:t xml:space="preserve">nder </w:t>
      </w:r>
      <w:r>
        <w:rPr>
          <w:rFonts w:ascii="Times New Roman" w:hAnsi="Times New Roman" w:cs="Times New Roman"/>
          <w:sz w:val="24"/>
          <w:szCs w:val="24"/>
        </w:rPr>
        <w:t xml:space="preserve">an </w:t>
      </w:r>
      <w:r w:rsidR="003951E6" w:rsidRPr="003951E6">
        <w:rPr>
          <w:rFonts w:ascii="Times New Roman" w:hAnsi="Times New Roman" w:cs="Times New Roman"/>
          <w:sz w:val="24"/>
          <w:szCs w:val="24"/>
        </w:rPr>
        <w:t>inflation which fel</w:t>
      </w:r>
      <w:r>
        <w:rPr>
          <w:rFonts w:ascii="Times New Roman" w:hAnsi="Times New Roman" w:cs="Times New Roman"/>
          <w:sz w:val="24"/>
          <w:szCs w:val="24"/>
        </w:rPr>
        <w:t>t</w:t>
      </w:r>
      <w:r w:rsidR="003951E6" w:rsidRPr="003951E6">
        <w:rPr>
          <w:rFonts w:ascii="Times New Roman" w:hAnsi="Times New Roman" w:cs="Times New Roman"/>
          <w:sz w:val="24"/>
          <w:szCs w:val="24"/>
        </w:rPr>
        <w:t xml:space="preserve"> below 1% in 2014 and quotas of bank interest rates below 2%, </w:t>
      </w:r>
      <w:r>
        <w:rPr>
          <w:rFonts w:ascii="Times New Roman" w:hAnsi="Times New Roman" w:cs="Times New Roman"/>
          <w:sz w:val="24"/>
          <w:szCs w:val="24"/>
        </w:rPr>
        <w:t>mutual funds</w:t>
      </w:r>
      <w:r w:rsidR="003951E6" w:rsidRPr="003951E6">
        <w:rPr>
          <w:rFonts w:ascii="Times New Roman" w:hAnsi="Times New Roman" w:cs="Times New Roman"/>
          <w:sz w:val="24"/>
          <w:szCs w:val="24"/>
        </w:rPr>
        <w:t xml:space="preserve"> have continued to develop drawing last year net subscriptions of nearly EUR 1 billion, reaching a level of assets of approximately EUR 4.4 billion and over 300,000 individual and institutional investors;</w:t>
      </w:r>
    </w:p>
    <w:p w:rsidR="00895681" w:rsidRDefault="00895681" w:rsidP="003951E6">
      <w:pPr>
        <w:pStyle w:val="ListParagraph"/>
        <w:numPr>
          <w:ilvl w:val="0"/>
          <w:numId w:val="13"/>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t</w:t>
      </w:r>
      <w:r w:rsidR="003951E6" w:rsidRPr="003951E6">
        <w:rPr>
          <w:rFonts w:ascii="Times New Roman" w:hAnsi="Times New Roman" w:cs="Times New Roman"/>
          <w:sz w:val="24"/>
          <w:szCs w:val="24"/>
        </w:rPr>
        <w:t xml:space="preserve">he </w:t>
      </w:r>
      <w:r>
        <w:rPr>
          <w:rFonts w:ascii="Times New Roman" w:hAnsi="Times New Roman" w:cs="Times New Roman"/>
          <w:sz w:val="24"/>
          <w:szCs w:val="24"/>
        </w:rPr>
        <w:t>investors distribution among different fund categories shows that</w:t>
      </w:r>
      <w:r w:rsidR="003951E6" w:rsidRPr="003951E6">
        <w:rPr>
          <w:rFonts w:ascii="Times New Roman" w:hAnsi="Times New Roman" w:cs="Times New Roman"/>
          <w:sz w:val="24"/>
          <w:szCs w:val="24"/>
        </w:rPr>
        <w:t xml:space="preserve"> there is a concentration of </w:t>
      </w:r>
      <w:r>
        <w:rPr>
          <w:rFonts w:ascii="Times New Roman" w:hAnsi="Times New Roman" w:cs="Times New Roman"/>
          <w:sz w:val="24"/>
          <w:szCs w:val="24"/>
        </w:rPr>
        <w:t>attractiveness</w:t>
      </w:r>
      <w:r w:rsidR="003951E6" w:rsidRPr="003951E6">
        <w:rPr>
          <w:rFonts w:ascii="Times New Roman" w:hAnsi="Times New Roman" w:cs="Times New Roman"/>
          <w:sz w:val="24"/>
          <w:szCs w:val="24"/>
        </w:rPr>
        <w:t xml:space="preserve"> to funds with an investment policy geared towards</w:t>
      </w:r>
      <w:r>
        <w:rPr>
          <w:rFonts w:ascii="Times New Roman" w:hAnsi="Times New Roman" w:cs="Times New Roman"/>
          <w:sz w:val="24"/>
          <w:szCs w:val="24"/>
        </w:rPr>
        <w:t xml:space="preserve"> fixed income instruments (e.g. bond funds)</w:t>
      </w:r>
      <w:r w:rsidR="003951E6" w:rsidRPr="003951E6">
        <w:rPr>
          <w:rFonts w:ascii="Times New Roman" w:hAnsi="Times New Roman" w:cs="Times New Roman"/>
          <w:sz w:val="24"/>
          <w:szCs w:val="24"/>
        </w:rPr>
        <w:t xml:space="preserve">. According to ASF </w:t>
      </w:r>
      <w:r>
        <w:rPr>
          <w:rFonts w:ascii="Times New Roman" w:hAnsi="Times New Roman" w:cs="Times New Roman"/>
          <w:sz w:val="24"/>
          <w:szCs w:val="24"/>
        </w:rPr>
        <w:t xml:space="preserve">data </w:t>
      </w:r>
      <w:r w:rsidR="003951E6" w:rsidRPr="003951E6">
        <w:rPr>
          <w:rFonts w:ascii="Times New Roman" w:hAnsi="Times New Roman" w:cs="Times New Roman"/>
          <w:sz w:val="24"/>
          <w:szCs w:val="24"/>
        </w:rPr>
        <w:t xml:space="preserve">(2014), bond funds represented approximately 94.42% of the total assets managed by investment trusts Romanian; </w:t>
      </w:r>
    </w:p>
    <w:p w:rsidR="00895681" w:rsidRDefault="00895681" w:rsidP="00895681"/>
    <w:p w:rsidR="00B37277" w:rsidRPr="008F00C9" w:rsidRDefault="003D271A" w:rsidP="003D271A">
      <w:pPr>
        <w:pStyle w:val="Heading2"/>
        <w:rPr>
          <w:i/>
        </w:rPr>
      </w:pPr>
      <w:bookmarkStart w:id="18" w:name="_Toc452412566"/>
      <w:r w:rsidRPr="008F00C9">
        <w:rPr>
          <w:i/>
        </w:rPr>
        <w:t>Chapter 3. Analysis of Romanian mutual funds performance</w:t>
      </w:r>
      <w:bookmarkEnd w:id="18"/>
    </w:p>
    <w:p w:rsidR="003D271A" w:rsidRPr="008F00C9" w:rsidRDefault="003D271A" w:rsidP="003D271A"/>
    <w:p w:rsidR="00295CB7" w:rsidRDefault="00295CB7" w:rsidP="00446058">
      <w:pPr>
        <w:spacing w:after="120" w:line="240" w:lineRule="auto"/>
        <w:jc w:val="both"/>
        <w:rPr>
          <w:rFonts w:ascii="Times New Roman" w:hAnsi="Times New Roman" w:cs="Times New Roman"/>
          <w:sz w:val="24"/>
          <w:szCs w:val="24"/>
        </w:rPr>
      </w:pPr>
      <w:r w:rsidRPr="00295CB7">
        <w:rPr>
          <w:rFonts w:ascii="Times New Roman" w:hAnsi="Times New Roman" w:cs="Times New Roman"/>
          <w:sz w:val="24"/>
          <w:szCs w:val="24"/>
        </w:rPr>
        <w:t xml:space="preserve">The third chapter </w:t>
      </w:r>
      <w:r>
        <w:rPr>
          <w:rFonts w:ascii="Times New Roman" w:hAnsi="Times New Roman" w:cs="Times New Roman"/>
          <w:sz w:val="24"/>
          <w:szCs w:val="24"/>
        </w:rPr>
        <w:t>is dedicated for p</w:t>
      </w:r>
      <w:r w:rsidRPr="00295CB7">
        <w:rPr>
          <w:rFonts w:ascii="Times New Roman" w:hAnsi="Times New Roman" w:cs="Times New Roman"/>
          <w:sz w:val="24"/>
          <w:szCs w:val="24"/>
        </w:rPr>
        <w:t xml:space="preserve">erformance evaluation of </w:t>
      </w:r>
      <w:r>
        <w:rPr>
          <w:rFonts w:ascii="Times New Roman" w:hAnsi="Times New Roman" w:cs="Times New Roman"/>
          <w:sz w:val="24"/>
          <w:szCs w:val="24"/>
        </w:rPr>
        <w:t>Romanian mutual funds</w:t>
      </w:r>
      <w:r w:rsidRPr="00295CB7">
        <w:rPr>
          <w:rFonts w:ascii="Times New Roman" w:hAnsi="Times New Roman" w:cs="Times New Roman"/>
          <w:sz w:val="24"/>
          <w:szCs w:val="24"/>
        </w:rPr>
        <w:t xml:space="preserve"> highlight</w:t>
      </w:r>
      <w:r>
        <w:rPr>
          <w:rFonts w:ascii="Times New Roman" w:hAnsi="Times New Roman" w:cs="Times New Roman"/>
          <w:sz w:val="24"/>
          <w:szCs w:val="24"/>
        </w:rPr>
        <w:t>ing the</w:t>
      </w:r>
      <w:r w:rsidRPr="00295CB7">
        <w:rPr>
          <w:rFonts w:ascii="Times New Roman" w:hAnsi="Times New Roman" w:cs="Times New Roman"/>
          <w:sz w:val="24"/>
          <w:szCs w:val="24"/>
        </w:rPr>
        <w:t xml:space="preserve"> results </w:t>
      </w:r>
      <w:r>
        <w:rPr>
          <w:rFonts w:ascii="Times New Roman" w:hAnsi="Times New Roman" w:cs="Times New Roman"/>
          <w:sz w:val="24"/>
          <w:szCs w:val="24"/>
        </w:rPr>
        <w:t xml:space="preserve">of the several selected </w:t>
      </w:r>
      <w:r w:rsidRPr="00295CB7">
        <w:rPr>
          <w:rFonts w:ascii="Times New Roman" w:hAnsi="Times New Roman" w:cs="Times New Roman"/>
          <w:sz w:val="24"/>
          <w:szCs w:val="24"/>
        </w:rPr>
        <w:t>key indicators.</w:t>
      </w:r>
      <w:r>
        <w:rPr>
          <w:rFonts w:ascii="Times New Roman" w:hAnsi="Times New Roman" w:cs="Times New Roman"/>
          <w:sz w:val="24"/>
          <w:szCs w:val="24"/>
        </w:rPr>
        <w:t xml:space="preserve"> Also, a comparative analysis was developed in order to define the benefits and risks assumed by these investment vehicles beside other available investment alternatives on the Romanian market within the last 8 years horizon from 2007 to 2014.</w:t>
      </w:r>
    </w:p>
    <w:p w:rsidR="00446058" w:rsidRPr="00446058" w:rsidRDefault="00446058" w:rsidP="00446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Assessing investment funds performance must take into account </w:t>
      </w:r>
      <w:r w:rsidRPr="00446058">
        <w:rPr>
          <w:rFonts w:ascii="Times New Roman" w:hAnsi="Times New Roman" w:cs="Times New Roman"/>
          <w:sz w:val="24"/>
          <w:szCs w:val="24"/>
        </w:rPr>
        <w:t>the interaction between investmen</w:t>
      </w:r>
      <w:r>
        <w:rPr>
          <w:rFonts w:ascii="Times New Roman" w:hAnsi="Times New Roman" w:cs="Times New Roman"/>
          <w:sz w:val="24"/>
          <w:szCs w:val="24"/>
        </w:rPr>
        <w:t>t funds and portfolio companies</w:t>
      </w:r>
      <w:r w:rsidRPr="00446058">
        <w:rPr>
          <w:rFonts w:ascii="Times New Roman" w:hAnsi="Times New Roman" w:cs="Times New Roman"/>
          <w:sz w:val="24"/>
          <w:szCs w:val="24"/>
        </w:rPr>
        <w:t xml:space="preserve">, </w:t>
      </w:r>
      <w:r>
        <w:rPr>
          <w:rFonts w:ascii="Times New Roman" w:hAnsi="Times New Roman" w:cs="Times New Roman"/>
          <w:sz w:val="24"/>
          <w:szCs w:val="24"/>
        </w:rPr>
        <w:t>and afterwards we</w:t>
      </w:r>
      <w:r w:rsidRPr="00446058">
        <w:rPr>
          <w:rFonts w:ascii="Times New Roman" w:hAnsi="Times New Roman" w:cs="Times New Roman"/>
          <w:sz w:val="24"/>
          <w:szCs w:val="24"/>
        </w:rPr>
        <w:t xml:space="preserve"> can identify three categories of factors </w:t>
      </w:r>
      <w:r>
        <w:rPr>
          <w:rFonts w:ascii="Times New Roman" w:hAnsi="Times New Roman" w:cs="Times New Roman"/>
          <w:sz w:val="24"/>
          <w:szCs w:val="24"/>
        </w:rPr>
        <w:t>that</w:t>
      </w:r>
      <w:r w:rsidRPr="00446058">
        <w:rPr>
          <w:rFonts w:ascii="Times New Roman" w:hAnsi="Times New Roman" w:cs="Times New Roman"/>
          <w:sz w:val="24"/>
          <w:szCs w:val="24"/>
        </w:rPr>
        <w:t xml:space="preserve"> m</w:t>
      </w:r>
      <w:r>
        <w:rPr>
          <w:rFonts w:ascii="Times New Roman" w:hAnsi="Times New Roman" w:cs="Times New Roman"/>
          <w:sz w:val="24"/>
          <w:szCs w:val="24"/>
        </w:rPr>
        <w:t>ight</w:t>
      </w:r>
      <w:r w:rsidRPr="00446058">
        <w:rPr>
          <w:rFonts w:ascii="Times New Roman" w:hAnsi="Times New Roman" w:cs="Times New Roman"/>
          <w:sz w:val="24"/>
          <w:szCs w:val="24"/>
        </w:rPr>
        <w:t xml:space="preserve"> affect the results of</w:t>
      </w:r>
      <w:r>
        <w:rPr>
          <w:rFonts w:ascii="Times New Roman" w:hAnsi="Times New Roman" w:cs="Times New Roman"/>
          <w:sz w:val="24"/>
          <w:szCs w:val="24"/>
        </w:rPr>
        <w:t xml:space="preserve"> investment funds (Figure 3.1) as described below</w:t>
      </w:r>
      <w:r w:rsidRPr="00446058">
        <w:rPr>
          <w:rFonts w:ascii="Times New Roman" w:hAnsi="Times New Roman" w:cs="Times New Roman"/>
          <w:sz w:val="24"/>
          <w:szCs w:val="24"/>
        </w:rPr>
        <w:t>:</w:t>
      </w:r>
    </w:p>
    <w:p w:rsidR="00446058" w:rsidRPr="00446058" w:rsidRDefault="00446058" w:rsidP="00446058">
      <w:pPr>
        <w:spacing w:after="0" w:line="240" w:lineRule="auto"/>
        <w:ind w:left="720"/>
        <w:jc w:val="both"/>
        <w:rPr>
          <w:rFonts w:ascii="Times New Roman" w:hAnsi="Times New Roman" w:cs="Times New Roman"/>
          <w:sz w:val="24"/>
          <w:szCs w:val="24"/>
        </w:rPr>
      </w:pPr>
      <w:r w:rsidRPr="00446058">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446058">
        <w:rPr>
          <w:rFonts w:ascii="Times New Roman" w:hAnsi="Times New Roman" w:cs="Times New Roman"/>
          <w:sz w:val="24"/>
          <w:szCs w:val="24"/>
        </w:rPr>
        <w:t xml:space="preserve">characteristics and </w:t>
      </w:r>
      <w:r>
        <w:rPr>
          <w:rFonts w:ascii="Times New Roman" w:hAnsi="Times New Roman" w:cs="Times New Roman"/>
          <w:sz w:val="24"/>
          <w:szCs w:val="24"/>
        </w:rPr>
        <w:t xml:space="preserve">the </w:t>
      </w:r>
      <w:r w:rsidRPr="00446058">
        <w:rPr>
          <w:rFonts w:ascii="Times New Roman" w:hAnsi="Times New Roman" w:cs="Times New Roman"/>
          <w:sz w:val="24"/>
          <w:szCs w:val="24"/>
        </w:rPr>
        <w:t>results of the company included in the portfolio</w:t>
      </w:r>
      <w:r>
        <w:rPr>
          <w:rFonts w:ascii="Times New Roman" w:hAnsi="Times New Roman" w:cs="Times New Roman"/>
          <w:sz w:val="24"/>
          <w:szCs w:val="24"/>
        </w:rPr>
        <w:t>;</w:t>
      </w:r>
    </w:p>
    <w:p w:rsidR="00446058" w:rsidRPr="00446058" w:rsidRDefault="00446058" w:rsidP="00446058">
      <w:pPr>
        <w:spacing w:after="0" w:line="240" w:lineRule="auto"/>
        <w:ind w:left="720"/>
        <w:jc w:val="both"/>
        <w:rPr>
          <w:rFonts w:ascii="Times New Roman" w:hAnsi="Times New Roman" w:cs="Times New Roman"/>
          <w:sz w:val="24"/>
          <w:szCs w:val="24"/>
        </w:rPr>
      </w:pPr>
      <w:r w:rsidRPr="00446058">
        <w:rPr>
          <w:rFonts w:ascii="Times New Roman" w:hAnsi="Times New Roman" w:cs="Times New Roman"/>
          <w:sz w:val="24"/>
          <w:szCs w:val="24"/>
        </w:rPr>
        <w:t xml:space="preserve">• </w:t>
      </w:r>
      <w:r>
        <w:rPr>
          <w:rFonts w:ascii="Times New Roman" w:hAnsi="Times New Roman" w:cs="Times New Roman"/>
          <w:sz w:val="24"/>
          <w:szCs w:val="24"/>
        </w:rPr>
        <w:t>the investment strategy changes</w:t>
      </w:r>
      <w:r w:rsidRPr="00446058">
        <w:rPr>
          <w:rFonts w:ascii="Times New Roman" w:hAnsi="Times New Roman" w:cs="Times New Roman"/>
          <w:sz w:val="24"/>
          <w:szCs w:val="24"/>
        </w:rPr>
        <w:t xml:space="preserve"> of the fund (amendment allocations, change</w:t>
      </w:r>
      <w:r>
        <w:rPr>
          <w:rFonts w:ascii="Times New Roman" w:hAnsi="Times New Roman" w:cs="Times New Roman"/>
          <w:sz w:val="24"/>
          <w:szCs w:val="24"/>
        </w:rPr>
        <w:t>s in the portfolio distribution</w:t>
      </w:r>
      <w:r w:rsidRPr="00446058">
        <w:rPr>
          <w:rFonts w:ascii="Times New Roman" w:hAnsi="Times New Roman" w:cs="Times New Roman"/>
          <w:sz w:val="24"/>
          <w:szCs w:val="24"/>
        </w:rPr>
        <w:t>, etc.)</w:t>
      </w:r>
    </w:p>
    <w:p w:rsidR="00446058" w:rsidRPr="00446058" w:rsidRDefault="00446058" w:rsidP="00446058">
      <w:pPr>
        <w:spacing w:after="0" w:line="240" w:lineRule="auto"/>
        <w:ind w:left="720"/>
        <w:jc w:val="both"/>
        <w:rPr>
          <w:rFonts w:ascii="Times New Roman" w:hAnsi="Times New Roman" w:cs="Times New Roman"/>
          <w:sz w:val="24"/>
          <w:szCs w:val="24"/>
        </w:rPr>
      </w:pPr>
      <w:r w:rsidRPr="00446058">
        <w:rPr>
          <w:rFonts w:ascii="Times New Roman" w:hAnsi="Times New Roman" w:cs="Times New Roman"/>
          <w:sz w:val="24"/>
          <w:szCs w:val="24"/>
        </w:rPr>
        <w:t>• market conditions as external factors influence both for the company's portfolio and the management strategy of the fund.</w:t>
      </w:r>
    </w:p>
    <w:p w:rsidR="00446058" w:rsidRDefault="00446058">
      <w:pPr>
        <w:rPr>
          <w:rFonts w:ascii="Times New Roman" w:hAnsi="Times New Roman" w:cs="Times New Roman"/>
          <w:sz w:val="24"/>
          <w:szCs w:val="24"/>
        </w:rPr>
      </w:pPr>
      <w:r>
        <w:rPr>
          <w:rFonts w:ascii="Times New Roman" w:hAnsi="Times New Roman" w:cs="Times New Roman"/>
          <w:sz w:val="24"/>
          <w:szCs w:val="24"/>
        </w:rPr>
        <w:br w:type="page"/>
      </w:r>
    </w:p>
    <w:p w:rsidR="00EA0194" w:rsidRPr="008F00C9" w:rsidRDefault="009827AA" w:rsidP="00EA0194">
      <w:pPr>
        <w:pStyle w:val="Caption"/>
        <w:spacing w:before="0" w:beforeAutospacing="0" w:after="0" w:afterAutospacing="0"/>
        <w:jc w:val="center"/>
        <w:rPr>
          <w:b/>
        </w:rPr>
      </w:pPr>
      <w:bookmarkStart w:id="19" w:name="_Toc449385214"/>
      <w:r>
        <w:rPr>
          <w:b/>
        </w:rPr>
        <w:lastRenderedPageBreak/>
        <w:t>Figure</w:t>
      </w:r>
      <w:r w:rsidR="00EA0194" w:rsidRPr="008F00C9">
        <w:rPr>
          <w:b/>
        </w:rPr>
        <w:t xml:space="preserve"> 3. </w:t>
      </w:r>
      <w:r w:rsidR="004B4616" w:rsidRPr="008F00C9">
        <w:rPr>
          <w:b/>
        </w:rPr>
        <w:fldChar w:fldCharType="begin"/>
      </w:r>
      <w:r w:rsidR="00EA0194" w:rsidRPr="008F00C9">
        <w:rPr>
          <w:b/>
        </w:rPr>
        <w:instrText xml:space="preserve"> SEQ Figura_3. \* ARABIC </w:instrText>
      </w:r>
      <w:r w:rsidR="004B4616" w:rsidRPr="008F00C9">
        <w:rPr>
          <w:b/>
        </w:rPr>
        <w:fldChar w:fldCharType="separate"/>
      </w:r>
      <w:r w:rsidR="00695698" w:rsidRPr="008F00C9">
        <w:rPr>
          <w:b/>
          <w:noProof/>
        </w:rPr>
        <w:t>1</w:t>
      </w:r>
      <w:r w:rsidR="004B4616" w:rsidRPr="008F00C9">
        <w:rPr>
          <w:b/>
        </w:rPr>
        <w:fldChar w:fldCharType="end"/>
      </w:r>
      <w:r w:rsidR="00EA0194" w:rsidRPr="008F00C9">
        <w:rPr>
          <w:b/>
        </w:rPr>
        <w:t xml:space="preserve"> </w:t>
      </w:r>
      <w:bookmarkEnd w:id="19"/>
      <w:r w:rsidR="00F73270">
        <w:rPr>
          <w:b/>
        </w:rPr>
        <w:t>Determinants of the investment funds performance</w:t>
      </w:r>
    </w:p>
    <w:p w:rsidR="00EA0194" w:rsidRPr="008F00C9" w:rsidRDefault="00EA0194" w:rsidP="00EA0194">
      <w:pPr>
        <w:spacing w:after="0" w:line="360" w:lineRule="auto"/>
        <w:jc w:val="center"/>
        <w:rPr>
          <w:rFonts w:ascii="Times New Roman" w:hAnsi="Times New Roman" w:cs="Times New Roman"/>
          <w:sz w:val="24"/>
          <w:szCs w:val="24"/>
        </w:rPr>
      </w:pPr>
      <w:r w:rsidRPr="008F00C9">
        <w:rPr>
          <w:rFonts w:ascii="Times New Roman" w:hAnsi="Times New Roman" w:cs="Times New Roman"/>
          <w:noProof/>
          <w:sz w:val="24"/>
          <w:szCs w:val="24"/>
        </w:rPr>
        <w:drawing>
          <wp:inline distT="0" distB="0" distL="0" distR="0">
            <wp:extent cx="3612046" cy="2259782"/>
            <wp:effectExtent l="19050" t="0" r="7454" b="0"/>
            <wp:docPr id="5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srcRect/>
                    <a:stretch>
                      <a:fillRect/>
                    </a:stretch>
                  </pic:blipFill>
                  <pic:spPr bwMode="auto">
                    <a:xfrm>
                      <a:off x="0" y="0"/>
                      <a:ext cx="3617549" cy="2263225"/>
                    </a:xfrm>
                    <a:prstGeom prst="rect">
                      <a:avLst/>
                    </a:prstGeom>
                    <a:noFill/>
                    <a:ln w="9525">
                      <a:noFill/>
                      <a:miter lim="800000"/>
                      <a:headEnd/>
                      <a:tailEnd/>
                    </a:ln>
                  </pic:spPr>
                </pic:pic>
              </a:graphicData>
            </a:graphic>
          </wp:inline>
        </w:drawing>
      </w:r>
    </w:p>
    <w:p w:rsidR="00EA0194" w:rsidRPr="008F00C9" w:rsidRDefault="00F73270" w:rsidP="00EA0194">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Source</w:t>
      </w:r>
      <w:r w:rsidR="00EA0194" w:rsidRPr="008F00C9">
        <w:rPr>
          <w:rFonts w:ascii="Times New Roman" w:hAnsi="Times New Roman" w:cs="Times New Roman"/>
          <w:sz w:val="24"/>
          <w:szCs w:val="24"/>
        </w:rPr>
        <w:t xml:space="preserve">: </w:t>
      </w:r>
      <w:r>
        <w:rPr>
          <w:rFonts w:ascii="Times New Roman" w:hAnsi="Times New Roman" w:cs="Times New Roman"/>
          <w:sz w:val="24"/>
          <w:szCs w:val="24"/>
        </w:rPr>
        <w:t>author’s own processing</w:t>
      </w:r>
    </w:p>
    <w:p w:rsidR="00446058" w:rsidRDefault="00446058" w:rsidP="00446058">
      <w:pPr>
        <w:spacing w:after="120" w:line="240" w:lineRule="auto"/>
        <w:jc w:val="both"/>
        <w:rPr>
          <w:rFonts w:ascii="Times New Roman" w:hAnsi="Times New Roman" w:cs="Times New Roman"/>
          <w:sz w:val="24"/>
          <w:szCs w:val="24"/>
        </w:rPr>
      </w:pPr>
      <w:r w:rsidRPr="00446058">
        <w:rPr>
          <w:rFonts w:ascii="Times New Roman" w:hAnsi="Times New Roman" w:cs="Times New Roman"/>
          <w:sz w:val="24"/>
          <w:szCs w:val="24"/>
        </w:rPr>
        <w:t xml:space="preserve">Starting from investor </w:t>
      </w:r>
      <w:r>
        <w:rPr>
          <w:rFonts w:ascii="Times New Roman" w:hAnsi="Times New Roman" w:cs="Times New Roman"/>
          <w:sz w:val="24"/>
          <w:szCs w:val="24"/>
        </w:rPr>
        <w:t>motivation</w:t>
      </w:r>
      <w:r w:rsidRPr="00446058">
        <w:rPr>
          <w:rFonts w:ascii="Times New Roman" w:hAnsi="Times New Roman" w:cs="Times New Roman"/>
          <w:sz w:val="24"/>
          <w:szCs w:val="24"/>
        </w:rPr>
        <w:t>, any form of investment must be justified in terms of three criteria (</w:t>
      </w:r>
      <w:r>
        <w:rPr>
          <w:rFonts w:ascii="Times New Roman" w:hAnsi="Times New Roman" w:cs="Times New Roman"/>
          <w:sz w:val="24"/>
          <w:szCs w:val="24"/>
        </w:rPr>
        <w:t>Bailesteanu 1998)</w:t>
      </w:r>
      <w:r w:rsidRPr="00446058">
        <w:rPr>
          <w:rFonts w:ascii="Times New Roman" w:hAnsi="Times New Roman" w:cs="Times New Roman"/>
          <w:sz w:val="24"/>
          <w:szCs w:val="24"/>
        </w:rPr>
        <w:t xml:space="preserve">: profitability, liquidity and safety. </w:t>
      </w:r>
      <w:r>
        <w:rPr>
          <w:rFonts w:ascii="Times New Roman" w:hAnsi="Times New Roman" w:cs="Times New Roman"/>
          <w:sz w:val="24"/>
          <w:szCs w:val="24"/>
        </w:rPr>
        <w:t>Since</w:t>
      </w:r>
      <w:r w:rsidRPr="00446058">
        <w:rPr>
          <w:rFonts w:ascii="Times New Roman" w:hAnsi="Times New Roman" w:cs="Times New Roman"/>
          <w:sz w:val="24"/>
          <w:szCs w:val="24"/>
        </w:rPr>
        <w:t xml:space="preserve"> profitability is a basic measure of </w:t>
      </w:r>
      <w:r>
        <w:rPr>
          <w:rFonts w:ascii="Times New Roman" w:hAnsi="Times New Roman" w:cs="Times New Roman"/>
          <w:sz w:val="24"/>
          <w:szCs w:val="24"/>
        </w:rPr>
        <w:t xml:space="preserve">the </w:t>
      </w:r>
      <w:r w:rsidRPr="00446058">
        <w:rPr>
          <w:rFonts w:ascii="Times New Roman" w:hAnsi="Times New Roman" w:cs="Times New Roman"/>
          <w:sz w:val="24"/>
          <w:szCs w:val="24"/>
        </w:rPr>
        <w:t xml:space="preserve">performance </w:t>
      </w:r>
      <w:r>
        <w:rPr>
          <w:rFonts w:ascii="Times New Roman" w:hAnsi="Times New Roman" w:cs="Times New Roman"/>
          <w:sz w:val="24"/>
          <w:szCs w:val="24"/>
        </w:rPr>
        <w:t xml:space="preserve">( Filip 2008) that </w:t>
      </w:r>
      <w:r w:rsidRPr="00446058">
        <w:rPr>
          <w:rFonts w:ascii="Times New Roman" w:hAnsi="Times New Roman" w:cs="Times New Roman"/>
          <w:sz w:val="24"/>
          <w:szCs w:val="24"/>
        </w:rPr>
        <w:t>comes to define the added value derived from the value increase i</w:t>
      </w:r>
      <w:r>
        <w:rPr>
          <w:rFonts w:ascii="Times New Roman" w:hAnsi="Times New Roman" w:cs="Times New Roman"/>
          <w:sz w:val="24"/>
          <w:szCs w:val="24"/>
        </w:rPr>
        <w:t>n the unit value of the fund assets</w:t>
      </w:r>
      <w:r w:rsidRPr="00446058">
        <w:rPr>
          <w:rFonts w:ascii="Times New Roman" w:hAnsi="Times New Roman" w:cs="Times New Roman"/>
          <w:sz w:val="24"/>
          <w:szCs w:val="24"/>
        </w:rPr>
        <w:t>, the othe</w:t>
      </w:r>
      <w:r>
        <w:rPr>
          <w:rFonts w:ascii="Times New Roman" w:hAnsi="Times New Roman" w:cs="Times New Roman"/>
          <w:sz w:val="24"/>
          <w:szCs w:val="24"/>
        </w:rPr>
        <w:t>r two elements complement the "magic triangle of investments</w:t>
      </w:r>
      <w:r w:rsidRPr="00446058">
        <w:rPr>
          <w:rFonts w:ascii="Times New Roman" w:hAnsi="Times New Roman" w:cs="Times New Roman"/>
          <w:sz w:val="24"/>
          <w:szCs w:val="24"/>
        </w:rPr>
        <w:t>" ( Bailesteanu 1998).</w:t>
      </w:r>
    </w:p>
    <w:p w:rsidR="00446058" w:rsidRDefault="00446058" w:rsidP="00446058">
      <w:pPr>
        <w:spacing w:after="120" w:line="240" w:lineRule="auto"/>
        <w:jc w:val="both"/>
        <w:rPr>
          <w:rFonts w:ascii="Times New Roman" w:hAnsi="Times New Roman" w:cs="Times New Roman"/>
          <w:sz w:val="24"/>
          <w:szCs w:val="24"/>
        </w:rPr>
      </w:pPr>
      <w:r w:rsidRPr="00446058">
        <w:rPr>
          <w:rFonts w:ascii="Times New Roman" w:hAnsi="Times New Roman" w:cs="Times New Roman"/>
          <w:sz w:val="24"/>
          <w:szCs w:val="24"/>
        </w:rPr>
        <w:t>Align</w:t>
      </w:r>
      <w:r>
        <w:rPr>
          <w:rFonts w:ascii="Times New Roman" w:hAnsi="Times New Roman" w:cs="Times New Roman"/>
          <w:sz w:val="24"/>
          <w:szCs w:val="24"/>
        </w:rPr>
        <w:t>ment of</w:t>
      </w:r>
      <w:r w:rsidRPr="00446058">
        <w:rPr>
          <w:rFonts w:ascii="Times New Roman" w:hAnsi="Times New Roman" w:cs="Times New Roman"/>
          <w:sz w:val="24"/>
          <w:szCs w:val="24"/>
        </w:rPr>
        <w:t xml:space="preserve"> the three items is not guaranteed </w:t>
      </w:r>
      <w:r>
        <w:rPr>
          <w:rFonts w:ascii="Times New Roman" w:hAnsi="Times New Roman" w:cs="Times New Roman"/>
          <w:sz w:val="24"/>
          <w:szCs w:val="24"/>
        </w:rPr>
        <w:t xml:space="preserve">and </w:t>
      </w:r>
      <w:r w:rsidRPr="00446058">
        <w:rPr>
          <w:rFonts w:ascii="Times New Roman" w:hAnsi="Times New Roman" w:cs="Times New Roman"/>
          <w:sz w:val="24"/>
          <w:szCs w:val="24"/>
        </w:rPr>
        <w:t xml:space="preserve">conflicts </w:t>
      </w:r>
      <w:r>
        <w:rPr>
          <w:rFonts w:ascii="Times New Roman" w:hAnsi="Times New Roman" w:cs="Times New Roman"/>
          <w:sz w:val="24"/>
          <w:szCs w:val="24"/>
        </w:rPr>
        <w:t>may be occurred between them</w:t>
      </w:r>
      <w:r w:rsidRPr="00446058">
        <w:rPr>
          <w:rFonts w:ascii="Times New Roman" w:hAnsi="Times New Roman" w:cs="Times New Roman"/>
          <w:sz w:val="24"/>
          <w:szCs w:val="24"/>
        </w:rPr>
        <w:t xml:space="preserve">, such as: </w:t>
      </w:r>
    </w:p>
    <w:p w:rsidR="00446058" w:rsidRPr="00446058" w:rsidRDefault="00446058" w:rsidP="00446058">
      <w:pPr>
        <w:pStyle w:val="ListParagraph"/>
        <w:numPr>
          <w:ilvl w:val="0"/>
          <w:numId w:val="13"/>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safety vs profitability - </w:t>
      </w:r>
      <w:r w:rsidRPr="00446058">
        <w:rPr>
          <w:rFonts w:ascii="Times New Roman" w:hAnsi="Times New Roman" w:cs="Times New Roman"/>
          <w:sz w:val="24"/>
          <w:szCs w:val="24"/>
        </w:rPr>
        <w:t>a high degree of safety is often as</w:t>
      </w:r>
      <w:r>
        <w:rPr>
          <w:rFonts w:ascii="Times New Roman" w:hAnsi="Times New Roman" w:cs="Times New Roman"/>
          <w:sz w:val="24"/>
          <w:szCs w:val="24"/>
        </w:rPr>
        <w:t>sociated with low profitability</w:t>
      </w:r>
      <w:r w:rsidRPr="00446058">
        <w:rPr>
          <w:rFonts w:ascii="Times New Roman" w:hAnsi="Times New Roman" w:cs="Times New Roman"/>
          <w:sz w:val="24"/>
          <w:szCs w:val="24"/>
        </w:rPr>
        <w:t xml:space="preserve">, while considerable results are </w:t>
      </w:r>
      <w:r>
        <w:rPr>
          <w:rFonts w:ascii="Times New Roman" w:hAnsi="Times New Roman" w:cs="Times New Roman"/>
          <w:sz w:val="24"/>
          <w:szCs w:val="24"/>
        </w:rPr>
        <w:t>obtained mostly with high risks</w:t>
      </w:r>
      <w:r w:rsidRPr="00446058">
        <w:rPr>
          <w:rFonts w:ascii="Times New Roman" w:hAnsi="Times New Roman" w:cs="Times New Roman"/>
          <w:sz w:val="24"/>
          <w:szCs w:val="24"/>
        </w:rPr>
        <w:t>;</w:t>
      </w:r>
    </w:p>
    <w:p w:rsidR="00446058" w:rsidRDefault="00446058" w:rsidP="00446058">
      <w:pPr>
        <w:pStyle w:val="ListParagraph"/>
        <w:numPr>
          <w:ilvl w:val="0"/>
          <w:numId w:val="13"/>
        </w:numPr>
        <w:spacing w:after="120" w:line="240" w:lineRule="auto"/>
        <w:jc w:val="both"/>
        <w:rPr>
          <w:rFonts w:ascii="Times New Roman" w:hAnsi="Times New Roman" w:cs="Times New Roman"/>
          <w:sz w:val="24"/>
          <w:szCs w:val="24"/>
        </w:rPr>
      </w:pPr>
      <w:r w:rsidRPr="00446058">
        <w:rPr>
          <w:rFonts w:ascii="Times New Roman" w:hAnsi="Times New Roman" w:cs="Times New Roman"/>
          <w:sz w:val="24"/>
          <w:szCs w:val="24"/>
        </w:rPr>
        <w:t>liquidity and profitability - requires a high liquidity diminished returns</w:t>
      </w:r>
      <w:r>
        <w:rPr>
          <w:rFonts w:ascii="Times New Roman" w:hAnsi="Times New Roman" w:cs="Times New Roman"/>
          <w:sz w:val="24"/>
          <w:szCs w:val="24"/>
        </w:rPr>
        <w:t>;</w:t>
      </w:r>
    </w:p>
    <w:p w:rsidR="00446058" w:rsidRPr="00446058" w:rsidRDefault="00820260" w:rsidP="0044605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We find</w:t>
      </w:r>
      <w:r w:rsidR="00446058" w:rsidRPr="00446058">
        <w:rPr>
          <w:rFonts w:ascii="Times New Roman" w:hAnsi="Times New Roman" w:cs="Times New Roman"/>
          <w:sz w:val="24"/>
          <w:szCs w:val="24"/>
        </w:rPr>
        <w:t xml:space="preserve"> that the binomial profitability - risk can not be dissociated and the onset of one of these elements is assured</w:t>
      </w:r>
      <w:r>
        <w:rPr>
          <w:rFonts w:ascii="Times New Roman" w:hAnsi="Times New Roman" w:cs="Times New Roman"/>
          <w:sz w:val="24"/>
          <w:szCs w:val="24"/>
        </w:rPr>
        <w:t xml:space="preserve"> by </w:t>
      </w:r>
      <w:r w:rsidR="00446058" w:rsidRPr="00446058">
        <w:rPr>
          <w:rFonts w:ascii="Times New Roman" w:hAnsi="Times New Roman" w:cs="Times New Roman"/>
          <w:sz w:val="24"/>
          <w:szCs w:val="24"/>
        </w:rPr>
        <w:t>the expense of the other, respectively, a level considered risk arises as the</w:t>
      </w:r>
      <w:r>
        <w:rPr>
          <w:rFonts w:ascii="Times New Roman" w:hAnsi="Times New Roman" w:cs="Times New Roman"/>
          <w:sz w:val="24"/>
          <w:szCs w:val="24"/>
        </w:rPr>
        <w:t xml:space="preserve"> desire to obtain higher yields</w:t>
      </w:r>
      <w:r w:rsidR="00446058" w:rsidRPr="00446058">
        <w:rPr>
          <w:rFonts w:ascii="Times New Roman" w:hAnsi="Times New Roman" w:cs="Times New Roman"/>
          <w:sz w:val="24"/>
          <w:szCs w:val="24"/>
        </w:rPr>
        <w:t xml:space="preserve">. Thus they were established in the literature a number of methods for measuring the performance of investments consisting of risk assessment </w:t>
      </w:r>
      <w:r>
        <w:rPr>
          <w:rFonts w:ascii="Times New Roman" w:hAnsi="Times New Roman" w:cs="Times New Roman"/>
          <w:sz w:val="24"/>
          <w:szCs w:val="24"/>
        </w:rPr>
        <w:t>as well as the</w:t>
      </w:r>
      <w:r w:rsidR="00446058" w:rsidRPr="00446058">
        <w:rPr>
          <w:rFonts w:ascii="Times New Roman" w:hAnsi="Times New Roman" w:cs="Times New Roman"/>
          <w:sz w:val="24"/>
          <w:szCs w:val="24"/>
        </w:rPr>
        <w:t xml:space="preserve"> evaluation of </w:t>
      </w:r>
      <w:r>
        <w:rPr>
          <w:rFonts w:ascii="Times New Roman" w:hAnsi="Times New Roman" w:cs="Times New Roman"/>
          <w:sz w:val="24"/>
          <w:szCs w:val="24"/>
        </w:rPr>
        <w:t>risk-adjusted returns</w:t>
      </w:r>
      <w:r w:rsidR="00446058" w:rsidRPr="00446058">
        <w:rPr>
          <w:rFonts w:ascii="Times New Roman" w:hAnsi="Times New Roman" w:cs="Times New Roman"/>
          <w:sz w:val="24"/>
          <w:szCs w:val="24"/>
        </w:rPr>
        <w:t>.</w:t>
      </w:r>
    </w:p>
    <w:p w:rsidR="00820260" w:rsidRDefault="00820260" w:rsidP="00820260">
      <w:pPr>
        <w:pStyle w:val="HTMLPreformatted"/>
        <w:shd w:val="clear" w:color="auto" w:fill="FFFFFF"/>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While m</w:t>
      </w:r>
      <w:r w:rsidRPr="00820260">
        <w:rPr>
          <w:rFonts w:ascii="Times New Roman" w:eastAsiaTheme="minorEastAsia" w:hAnsi="Times New Roman" w:cs="Times New Roman"/>
          <w:sz w:val="24"/>
          <w:szCs w:val="24"/>
        </w:rPr>
        <w:t>anaging portfolios the investment funds</w:t>
      </w:r>
      <w:r>
        <w:rPr>
          <w:rFonts w:ascii="Times New Roman" w:eastAsiaTheme="minorEastAsia" w:hAnsi="Times New Roman" w:cs="Times New Roman"/>
          <w:sz w:val="24"/>
          <w:szCs w:val="24"/>
        </w:rPr>
        <w:t xml:space="preserve"> performance is</w:t>
      </w:r>
      <w:r w:rsidRPr="00820260">
        <w:rPr>
          <w:rFonts w:ascii="Times New Roman" w:eastAsiaTheme="minorEastAsia" w:hAnsi="Times New Roman" w:cs="Times New Roman"/>
          <w:sz w:val="24"/>
          <w:szCs w:val="24"/>
        </w:rPr>
        <w:t xml:space="preserve"> relate</w:t>
      </w:r>
      <w:r>
        <w:rPr>
          <w:rFonts w:ascii="Times New Roman" w:eastAsiaTheme="minorEastAsia" w:hAnsi="Times New Roman" w:cs="Times New Roman"/>
          <w:sz w:val="24"/>
          <w:szCs w:val="24"/>
        </w:rPr>
        <w:t>d</w:t>
      </w:r>
      <w:r w:rsidRPr="00820260">
        <w:rPr>
          <w:rFonts w:ascii="Times New Roman" w:eastAsiaTheme="minorEastAsia" w:hAnsi="Times New Roman" w:cs="Times New Roman"/>
          <w:sz w:val="24"/>
          <w:szCs w:val="24"/>
        </w:rPr>
        <w:t xml:space="preserve"> to assessing the effectiveness </w:t>
      </w:r>
      <w:r>
        <w:rPr>
          <w:rFonts w:ascii="Times New Roman" w:eastAsiaTheme="minorEastAsia" w:hAnsi="Times New Roman" w:cs="Times New Roman"/>
          <w:sz w:val="24"/>
          <w:szCs w:val="24"/>
        </w:rPr>
        <w:t>of the managed portfolios</w:t>
      </w:r>
      <w:r w:rsidRPr="00820260">
        <w:rPr>
          <w:rFonts w:ascii="Times New Roman" w:eastAsiaTheme="minorEastAsia" w:hAnsi="Times New Roman" w:cs="Times New Roman"/>
          <w:sz w:val="24"/>
          <w:szCs w:val="24"/>
        </w:rPr>
        <w:t xml:space="preserve">. (Fairly 1999) associated the following potential benefits </w:t>
      </w:r>
      <w:r>
        <w:rPr>
          <w:rFonts w:ascii="Times New Roman" w:eastAsiaTheme="minorEastAsia" w:hAnsi="Times New Roman" w:cs="Times New Roman"/>
          <w:sz w:val="24"/>
          <w:szCs w:val="24"/>
        </w:rPr>
        <w:t xml:space="preserve">derived from unit funds ownership: </w:t>
      </w:r>
    </w:p>
    <w:p w:rsidR="00820260" w:rsidRDefault="00820260" w:rsidP="00820260">
      <w:pPr>
        <w:pStyle w:val="ListParagraph"/>
        <w:numPr>
          <w:ilvl w:val="0"/>
          <w:numId w:val="23"/>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i</w:t>
      </w:r>
      <w:r w:rsidRPr="00820260">
        <w:rPr>
          <w:rFonts w:ascii="Times New Roman" w:hAnsi="Times New Roman" w:cs="Times New Roman"/>
          <w:sz w:val="24"/>
          <w:szCs w:val="24"/>
        </w:rPr>
        <w:t>ncreasing mutual</w:t>
      </w:r>
      <w:r>
        <w:rPr>
          <w:rFonts w:ascii="Times New Roman" w:hAnsi="Times New Roman" w:cs="Times New Roman"/>
          <w:sz w:val="24"/>
          <w:szCs w:val="24"/>
        </w:rPr>
        <w:t xml:space="preserve"> fund asset value ( + Δ%ATN)</w:t>
      </w:r>
      <w:r w:rsidRPr="00820260">
        <w:rPr>
          <w:rFonts w:ascii="Times New Roman" w:hAnsi="Times New Roman" w:cs="Times New Roman"/>
          <w:sz w:val="24"/>
          <w:szCs w:val="24"/>
        </w:rPr>
        <w:t xml:space="preserve">; </w:t>
      </w:r>
    </w:p>
    <w:p w:rsidR="00820260" w:rsidRDefault="00820260" w:rsidP="00820260">
      <w:pPr>
        <w:pStyle w:val="ListParagraph"/>
        <w:numPr>
          <w:ilvl w:val="0"/>
          <w:numId w:val="23"/>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d</w:t>
      </w:r>
      <w:r w:rsidRPr="00820260">
        <w:rPr>
          <w:rFonts w:ascii="Times New Roman" w:hAnsi="Times New Roman" w:cs="Times New Roman"/>
          <w:sz w:val="24"/>
          <w:szCs w:val="24"/>
        </w:rPr>
        <w:t>ividends paid by the portfolio company for the releva</w:t>
      </w:r>
      <w:r>
        <w:rPr>
          <w:rFonts w:ascii="Times New Roman" w:hAnsi="Times New Roman" w:cs="Times New Roman"/>
          <w:sz w:val="24"/>
          <w:szCs w:val="24"/>
        </w:rPr>
        <w:t>nt share holding in the capital</w:t>
      </w:r>
      <w:r w:rsidRPr="00820260">
        <w:rPr>
          <w:rFonts w:ascii="Times New Roman" w:hAnsi="Times New Roman" w:cs="Times New Roman"/>
          <w:sz w:val="24"/>
          <w:szCs w:val="24"/>
        </w:rPr>
        <w:t xml:space="preserve">; </w:t>
      </w:r>
    </w:p>
    <w:p w:rsidR="00820260" w:rsidRPr="00820260" w:rsidRDefault="00820260" w:rsidP="00820260">
      <w:pPr>
        <w:pStyle w:val="ListParagraph"/>
        <w:numPr>
          <w:ilvl w:val="0"/>
          <w:numId w:val="23"/>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c</w:t>
      </w:r>
      <w:r w:rsidRPr="00820260">
        <w:rPr>
          <w:rFonts w:ascii="Times New Roman" w:hAnsi="Times New Roman" w:cs="Times New Roman"/>
          <w:sz w:val="24"/>
          <w:szCs w:val="24"/>
        </w:rPr>
        <w:t>apital gains earned by the investmen</w:t>
      </w:r>
      <w:r>
        <w:rPr>
          <w:rFonts w:ascii="Times New Roman" w:hAnsi="Times New Roman" w:cs="Times New Roman"/>
          <w:sz w:val="24"/>
          <w:szCs w:val="24"/>
        </w:rPr>
        <w:t>t fund after investment activity</w:t>
      </w:r>
      <w:r w:rsidRPr="00820260">
        <w:rPr>
          <w:rFonts w:ascii="Times New Roman" w:hAnsi="Times New Roman" w:cs="Times New Roman"/>
          <w:sz w:val="24"/>
          <w:szCs w:val="24"/>
        </w:rPr>
        <w:t>.</w:t>
      </w:r>
    </w:p>
    <w:p w:rsidR="00820260" w:rsidRPr="00820260" w:rsidRDefault="00820260" w:rsidP="00820260">
      <w:pPr>
        <w:pStyle w:val="HTMLPreformatted"/>
        <w:shd w:val="clear" w:color="auto" w:fill="FFFFFF"/>
        <w:jc w:val="both"/>
        <w:rPr>
          <w:rFonts w:ascii="Times New Roman" w:eastAsiaTheme="minorEastAsia" w:hAnsi="Times New Roman" w:cs="Times New Roman"/>
          <w:sz w:val="24"/>
          <w:szCs w:val="24"/>
        </w:rPr>
      </w:pPr>
      <w:r w:rsidRPr="00820260">
        <w:rPr>
          <w:rFonts w:ascii="Times New Roman" w:eastAsiaTheme="minorEastAsia" w:hAnsi="Times New Roman" w:cs="Times New Roman"/>
          <w:sz w:val="24"/>
          <w:szCs w:val="24"/>
        </w:rPr>
        <w:t xml:space="preserve">The option of choosing the best measures for assessing the performance of investment funds by the criterion of profitability - risk is a fundamental </w:t>
      </w:r>
      <w:r>
        <w:rPr>
          <w:rFonts w:ascii="Times New Roman" w:eastAsiaTheme="minorEastAsia" w:hAnsi="Times New Roman" w:cs="Times New Roman"/>
          <w:sz w:val="24"/>
          <w:szCs w:val="24"/>
        </w:rPr>
        <w:t>statement</w:t>
      </w:r>
      <w:r w:rsidRPr="00820260">
        <w:rPr>
          <w:rFonts w:ascii="Times New Roman" w:eastAsiaTheme="minorEastAsia" w:hAnsi="Times New Roman" w:cs="Times New Roman"/>
          <w:sz w:val="24"/>
          <w:szCs w:val="24"/>
        </w:rPr>
        <w:t xml:space="preserve"> of performance measurement</w:t>
      </w:r>
      <w:r>
        <w:rPr>
          <w:rFonts w:ascii="Times New Roman" w:eastAsiaTheme="minorEastAsia" w:hAnsi="Times New Roman" w:cs="Times New Roman"/>
          <w:sz w:val="24"/>
          <w:szCs w:val="24"/>
        </w:rPr>
        <w:t xml:space="preserve"> adequacy </w:t>
      </w:r>
      <w:r w:rsidRPr="00820260">
        <w:rPr>
          <w:rFonts w:ascii="Times New Roman" w:eastAsiaTheme="minorEastAsia" w:hAnsi="Times New Roman" w:cs="Times New Roman"/>
          <w:sz w:val="24"/>
          <w:szCs w:val="24"/>
        </w:rPr>
        <w:t xml:space="preserve">calculation. Most research on explaining the performance of investment funds ( Giles , Alexeeva &amp; Buxton 2003) ( Chan et al. 2009) , ( Sanchez &amp; Sottorio 2009) ( Haslem 2010) ( Shi 2013) identified and agreed that following approaches </w:t>
      </w:r>
      <w:r>
        <w:rPr>
          <w:rFonts w:ascii="Times New Roman" w:eastAsiaTheme="minorEastAsia" w:hAnsi="Times New Roman" w:cs="Times New Roman"/>
          <w:sz w:val="24"/>
          <w:szCs w:val="24"/>
        </w:rPr>
        <w:t xml:space="preserve">express unitary the </w:t>
      </w:r>
      <w:r w:rsidRPr="00820260">
        <w:rPr>
          <w:rFonts w:ascii="Times New Roman" w:eastAsiaTheme="minorEastAsia" w:hAnsi="Times New Roman" w:cs="Times New Roman"/>
          <w:sz w:val="24"/>
          <w:szCs w:val="24"/>
        </w:rPr>
        <w:t xml:space="preserve">performance </w:t>
      </w:r>
      <w:r>
        <w:rPr>
          <w:rFonts w:ascii="Times New Roman" w:eastAsiaTheme="minorEastAsia" w:hAnsi="Times New Roman" w:cs="Times New Roman"/>
          <w:sz w:val="24"/>
          <w:szCs w:val="24"/>
        </w:rPr>
        <w:t>evaluation</w:t>
      </w:r>
      <w:r w:rsidRPr="00820260">
        <w:rPr>
          <w:rFonts w:ascii="Times New Roman" w:eastAsiaTheme="minorEastAsia" w:hAnsi="Times New Roman" w:cs="Times New Roman"/>
          <w:sz w:val="24"/>
          <w:szCs w:val="24"/>
        </w:rPr>
        <w:t>, according to the table structure 3.1.</w:t>
      </w:r>
    </w:p>
    <w:p w:rsidR="00820260" w:rsidRDefault="00820260" w:rsidP="00DB67E6">
      <w:pPr>
        <w:spacing w:after="120" w:line="240" w:lineRule="auto"/>
        <w:jc w:val="both"/>
        <w:rPr>
          <w:rFonts w:ascii="Times New Roman" w:hAnsi="Times New Roman" w:cs="Times New Roman"/>
          <w:spacing w:val="2"/>
          <w:sz w:val="24"/>
          <w:szCs w:val="24"/>
        </w:rPr>
      </w:pPr>
    </w:p>
    <w:p w:rsidR="00820260" w:rsidRDefault="00820260">
      <w:pPr>
        <w:rPr>
          <w:rFonts w:ascii="Times New Roman" w:eastAsia="Times New Roman" w:hAnsi="Times New Roman" w:cs="Times New Roman"/>
          <w:b/>
          <w:sz w:val="24"/>
          <w:szCs w:val="24"/>
        </w:rPr>
      </w:pPr>
      <w:bookmarkStart w:id="20" w:name="_Toc449385132"/>
      <w:r>
        <w:rPr>
          <w:b/>
        </w:rPr>
        <w:br w:type="page"/>
      </w:r>
    </w:p>
    <w:p w:rsidR="0019180E" w:rsidRPr="008F00C9" w:rsidRDefault="0019180E" w:rsidP="0019180E">
      <w:pPr>
        <w:pStyle w:val="Caption"/>
        <w:spacing w:before="0" w:beforeAutospacing="0" w:after="0" w:afterAutospacing="0"/>
        <w:jc w:val="center"/>
        <w:rPr>
          <w:b/>
        </w:rPr>
      </w:pPr>
      <w:r w:rsidRPr="008F00C9">
        <w:rPr>
          <w:b/>
        </w:rPr>
        <w:lastRenderedPageBreak/>
        <w:t>Tab</w:t>
      </w:r>
      <w:r w:rsidR="00F73270">
        <w:rPr>
          <w:b/>
        </w:rPr>
        <w:t>le</w:t>
      </w:r>
      <w:r w:rsidRPr="008F00C9">
        <w:rPr>
          <w:b/>
        </w:rPr>
        <w:t xml:space="preserve"> 3. </w:t>
      </w:r>
      <w:r w:rsidR="004B4616" w:rsidRPr="008F00C9">
        <w:rPr>
          <w:b/>
        </w:rPr>
        <w:fldChar w:fldCharType="begin"/>
      </w:r>
      <w:r w:rsidRPr="008F00C9">
        <w:rPr>
          <w:b/>
        </w:rPr>
        <w:instrText xml:space="preserve"> SEQ Tabel_3. \* ARABIC </w:instrText>
      </w:r>
      <w:r w:rsidR="004B4616" w:rsidRPr="008F00C9">
        <w:rPr>
          <w:b/>
        </w:rPr>
        <w:fldChar w:fldCharType="separate"/>
      </w:r>
      <w:r w:rsidR="00695698" w:rsidRPr="008F00C9">
        <w:rPr>
          <w:b/>
          <w:noProof/>
        </w:rPr>
        <w:t>1</w:t>
      </w:r>
      <w:r w:rsidR="004B4616" w:rsidRPr="008F00C9">
        <w:rPr>
          <w:b/>
        </w:rPr>
        <w:fldChar w:fldCharType="end"/>
      </w:r>
      <w:r w:rsidRPr="008F00C9">
        <w:rPr>
          <w:b/>
        </w:rPr>
        <w:t xml:space="preserve"> </w:t>
      </w:r>
      <w:r w:rsidR="00820260">
        <w:rPr>
          <w:b/>
        </w:rPr>
        <w:t>Measures in assessing the investment funds performance</w:t>
      </w:r>
      <w:bookmarkEnd w:id="20"/>
    </w:p>
    <w:tbl>
      <w:tblPr>
        <w:tblStyle w:val="TableGrid"/>
        <w:tblW w:w="0" w:type="auto"/>
        <w:jc w:val="center"/>
        <w:tblLook w:val="04A0"/>
      </w:tblPr>
      <w:tblGrid>
        <w:gridCol w:w="2943"/>
        <w:gridCol w:w="6300"/>
      </w:tblGrid>
      <w:tr w:rsidR="0019180E" w:rsidRPr="008F00C9" w:rsidTr="0019180E">
        <w:trPr>
          <w:jc w:val="center"/>
        </w:trPr>
        <w:tc>
          <w:tcPr>
            <w:tcW w:w="2943" w:type="dxa"/>
          </w:tcPr>
          <w:p w:rsidR="0019180E" w:rsidRPr="008F00C9" w:rsidRDefault="00820260" w:rsidP="0019180E">
            <w:pPr>
              <w:jc w:val="center"/>
              <w:rPr>
                <w:i/>
                <w:sz w:val="24"/>
                <w:szCs w:val="24"/>
              </w:rPr>
            </w:pPr>
            <w:r>
              <w:rPr>
                <w:i/>
                <w:sz w:val="24"/>
                <w:szCs w:val="24"/>
              </w:rPr>
              <w:t>Standard indicators</w:t>
            </w:r>
          </w:p>
        </w:tc>
        <w:tc>
          <w:tcPr>
            <w:tcW w:w="6300" w:type="dxa"/>
          </w:tcPr>
          <w:p w:rsidR="0019180E" w:rsidRPr="008F00C9" w:rsidRDefault="00820260" w:rsidP="0019180E">
            <w:pPr>
              <w:jc w:val="center"/>
              <w:rPr>
                <w:i/>
                <w:sz w:val="24"/>
                <w:szCs w:val="24"/>
              </w:rPr>
            </w:pPr>
            <w:r>
              <w:rPr>
                <w:i/>
                <w:sz w:val="24"/>
                <w:szCs w:val="24"/>
              </w:rPr>
              <w:t>Alternative indicators</w:t>
            </w:r>
          </w:p>
        </w:tc>
      </w:tr>
      <w:tr w:rsidR="0019180E" w:rsidRPr="008F00C9" w:rsidTr="0019180E">
        <w:trPr>
          <w:trHeight w:val="2514"/>
          <w:jc w:val="center"/>
        </w:trPr>
        <w:tc>
          <w:tcPr>
            <w:tcW w:w="2943" w:type="dxa"/>
          </w:tcPr>
          <w:p w:rsidR="0019180E" w:rsidRPr="008F00C9" w:rsidRDefault="0019180E" w:rsidP="0019180E">
            <w:pPr>
              <w:jc w:val="both"/>
              <w:rPr>
                <w:sz w:val="24"/>
                <w:szCs w:val="24"/>
              </w:rPr>
            </w:pPr>
            <w:r w:rsidRPr="008F00C9">
              <w:rPr>
                <w:sz w:val="24"/>
                <w:szCs w:val="24"/>
              </w:rPr>
              <w:t>Sharpe</w:t>
            </w:r>
            <w:r w:rsidR="00820260">
              <w:rPr>
                <w:sz w:val="24"/>
                <w:szCs w:val="24"/>
              </w:rPr>
              <w:t xml:space="preserve"> rate</w:t>
            </w:r>
          </w:p>
          <w:p w:rsidR="0019180E" w:rsidRPr="008F00C9" w:rsidRDefault="0019180E" w:rsidP="0019180E">
            <w:pPr>
              <w:jc w:val="both"/>
              <w:rPr>
                <w:sz w:val="24"/>
                <w:szCs w:val="24"/>
              </w:rPr>
            </w:pPr>
            <w:r w:rsidRPr="008F00C9">
              <w:rPr>
                <w:sz w:val="24"/>
                <w:szCs w:val="24"/>
              </w:rPr>
              <w:t>Treynor</w:t>
            </w:r>
            <w:r w:rsidR="00820260">
              <w:rPr>
                <w:sz w:val="24"/>
                <w:szCs w:val="24"/>
              </w:rPr>
              <w:t xml:space="preserve"> rate</w:t>
            </w:r>
          </w:p>
          <w:p w:rsidR="0019180E" w:rsidRPr="008F00C9" w:rsidRDefault="0019180E" w:rsidP="0019180E">
            <w:pPr>
              <w:jc w:val="both"/>
              <w:rPr>
                <w:sz w:val="24"/>
                <w:szCs w:val="24"/>
              </w:rPr>
            </w:pPr>
            <w:r w:rsidRPr="008F00C9">
              <w:rPr>
                <w:sz w:val="24"/>
                <w:szCs w:val="24"/>
              </w:rPr>
              <w:t>α Jensen</w:t>
            </w:r>
          </w:p>
        </w:tc>
        <w:tc>
          <w:tcPr>
            <w:tcW w:w="6300" w:type="dxa"/>
          </w:tcPr>
          <w:p w:rsidR="0019180E" w:rsidRPr="008F00C9" w:rsidRDefault="0019180E" w:rsidP="0019180E">
            <w:pPr>
              <w:rPr>
                <w:sz w:val="24"/>
                <w:szCs w:val="24"/>
              </w:rPr>
            </w:pPr>
            <w:r w:rsidRPr="008F00C9">
              <w:rPr>
                <w:sz w:val="24"/>
                <w:szCs w:val="24"/>
              </w:rPr>
              <w:t>Sortino</w:t>
            </w:r>
            <w:r w:rsidR="00820260">
              <w:rPr>
                <w:sz w:val="24"/>
                <w:szCs w:val="24"/>
              </w:rPr>
              <w:t xml:space="preserve"> rate</w:t>
            </w:r>
            <w:r w:rsidRPr="008F00C9">
              <w:rPr>
                <w:sz w:val="24"/>
                <w:szCs w:val="24"/>
              </w:rPr>
              <w:t xml:space="preserve"> (Sortino &amp; Price, 1994) </w:t>
            </w:r>
          </w:p>
          <w:p w:rsidR="0019180E" w:rsidRPr="008F00C9" w:rsidRDefault="00820260" w:rsidP="0019180E">
            <w:pPr>
              <w:rPr>
                <w:sz w:val="24"/>
                <w:szCs w:val="24"/>
              </w:rPr>
            </w:pPr>
            <w:r>
              <w:rPr>
                <w:sz w:val="24"/>
                <w:szCs w:val="24"/>
              </w:rPr>
              <w:t>Entropy rate</w:t>
            </w:r>
          </w:p>
          <w:p w:rsidR="0019180E" w:rsidRPr="008F00C9" w:rsidRDefault="0019180E" w:rsidP="0019180E">
            <w:pPr>
              <w:rPr>
                <w:sz w:val="24"/>
                <w:szCs w:val="24"/>
                <w:vertAlign w:val="superscript"/>
              </w:rPr>
            </w:pPr>
            <w:r w:rsidRPr="008F00C9">
              <w:rPr>
                <w:sz w:val="24"/>
                <w:szCs w:val="24"/>
              </w:rPr>
              <w:t xml:space="preserve">Modigliani squared </w:t>
            </w:r>
            <w:r w:rsidR="00820260">
              <w:rPr>
                <w:sz w:val="24"/>
                <w:szCs w:val="24"/>
              </w:rPr>
              <w:t xml:space="preserve">rate </w:t>
            </w:r>
            <w:r w:rsidRPr="008F00C9">
              <w:rPr>
                <w:sz w:val="24"/>
                <w:szCs w:val="24"/>
              </w:rPr>
              <w:t>(M</w:t>
            </w:r>
            <w:r w:rsidRPr="008F00C9">
              <w:rPr>
                <w:sz w:val="24"/>
                <w:szCs w:val="24"/>
                <w:vertAlign w:val="superscript"/>
              </w:rPr>
              <w:t>2</w:t>
            </w:r>
            <w:r w:rsidRPr="008F00C9">
              <w:rPr>
                <w:sz w:val="24"/>
                <w:szCs w:val="24"/>
              </w:rPr>
              <w:t>)</w:t>
            </w:r>
            <w:r w:rsidRPr="008F00C9">
              <w:rPr>
                <w:sz w:val="24"/>
                <w:szCs w:val="24"/>
                <w:vertAlign w:val="superscript"/>
              </w:rPr>
              <w:t xml:space="preserve"> </w:t>
            </w:r>
          </w:p>
          <w:p w:rsidR="0019180E" w:rsidRPr="008F00C9" w:rsidRDefault="0019180E" w:rsidP="0019180E">
            <w:pPr>
              <w:rPr>
                <w:sz w:val="24"/>
                <w:szCs w:val="24"/>
              </w:rPr>
            </w:pPr>
            <w:r w:rsidRPr="008F00C9">
              <w:rPr>
                <w:sz w:val="24"/>
                <w:szCs w:val="24"/>
              </w:rPr>
              <w:t>Pederson-Satchell</w:t>
            </w:r>
            <w:r w:rsidR="00820260">
              <w:rPr>
                <w:sz w:val="24"/>
                <w:szCs w:val="24"/>
              </w:rPr>
              <w:t xml:space="preserve"> rate</w:t>
            </w:r>
          </w:p>
          <w:p w:rsidR="0019180E" w:rsidRPr="008F00C9" w:rsidRDefault="0019180E" w:rsidP="0019180E">
            <w:pPr>
              <w:rPr>
                <w:sz w:val="24"/>
                <w:szCs w:val="24"/>
              </w:rPr>
            </w:pPr>
            <w:r w:rsidRPr="008F00C9">
              <w:rPr>
                <w:sz w:val="24"/>
                <w:szCs w:val="24"/>
              </w:rPr>
              <w:t>Omega</w:t>
            </w:r>
            <w:r w:rsidR="00820260">
              <w:rPr>
                <w:sz w:val="24"/>
                <w:szCs w:val="24"/>
              </w:rPr>
              <w:t xml:space="preserve"> index</w:t>
            </w:r>
          </w:p>
          <w:p w:rsidR="0019180E" w:rsidRPr="008F00C9" w:rsidRDefault="0019180E" w:rsidP="0019180E">
            <w:pPr>
              <w:rPr>
                <w:sz w:val="24"/>
                <w:szCs w:val="24"/>
              </w:rPr>
            </w:pPr>
            <w:r w:rsidRPr="008F00C9">
              <w:rPr>
                <w:sz w:val="24"/>
                <w:szCs w:val="24"/>
              </w:rPr>
              <w:t>VaR şi VaR conditional (CVaR)</w:t>
            </w:r>
          </w:p>
          <w:p w:rsidR="0019180E" w:rsidRPr="008F00C9" w:rsidRDefault="0048787B" w:rsidP="0019180E">
            <w:pPr>
              <w:rPr>
                <w:sz w:val="24"/>
                <w:szCs w:val="24"/>
              </w:rPr>
            </w:pPr>
            <w:r>
              <w:rPr>
                <w:sz w:val="24"/>
                <w:szCs w:val="24"/>
              </w:rPr>
              <w:t>Non-parametric models</w:t>
            </w:r>
            <w:r w:rsidR="0019180E" w:rsidRPr="008F00C9">
              <w:rPr>
                <w:sz w:val="24"/>
                <w:szCs w:val="24"/>
              </w:rPr>
              <w:t xml:space="preserve"> (e</w:t>
            </w:r>
            <w:r>
              <w:rPr>
                <w:sz w:val="24"/>
                <w:szCs w:val="24"/>
              </w:rPr>
              <w:t>.g.</w:t>
            </w:r>
            <w:r w:rsidR="0019180E" w:rsidRPr="008F00C9">
              <w:rPr>
                <w:sz w:val="24"/>
                <w:szCs w:val="24"/>
              </w:rPr>
              <w:t xml:space="preserve"> Data Envelopment Analysis)</w:t>
            </w:r>
          </w:p>
          <w:p w:rsidR="0019180E" w:rsidRPr="008F00C9" w:rsidRDefault="0048787B" w:rsidP="0019180E">
            <w:pPr>
              <w:rPr>
                <w:sz w:val="24"/>
                <w:szCs w:val="24"/>
              </w:rPr>
            </w:pPr>
            <w:r>
              <w:rPr>
                <w:sz w:val="24"/>
                <w:szCs w:val="24"/>
              </w:rPr>
              <w:t>Multifactorial models</w:t>
            </w:r>
            <w:r w:rsidR="0019180E" w:rsidRPr="008F00C9">
              <w:rPr>
                <w:sz w:val="24"/>
                <w:szCs w:val="24"/>
              </w:rPr>
              <w:t xml:space="preserve"> (Fama &amp; French, 1993; Carhart, 1997;)</w:t>
            </w:r>
          </w:p>
        </w:tc>
      </w:tr>
    </w:tbl>
    <w:p w:rsidR="0019180E" w:rsidRPr="008F00C9" w:rsidRDefault="00F73270" w:rsidP="0048787B">
      <w:pPr>
        <w:spacing w:after="0" w:line="240" w:lineRule="auto"/>
        <w:jc w:val="center"/>
        <w:rPr>
          <w:rFonts w:ascii="Times New Roman" w:hAnsi="Times New Roman" w:cs="Times New Roman"/>
          <w:spacing w:val="-6"/>
          <w:sz w:val="24"/>
          <w:szCs w:val="24"/>
        </w:rPr>
      </w:pPr>
      <w:r>
        <w:rPr>
          <w:rFonts w:ascii="Times New Roman" w:hAnsi="Times New Roman" w:cs="Times New Roman"/>
          <w:spacing w:val="-4"/>
          <w:sz w:val="24"/>
          <w:szCs w:val="24"/>
        </w:rPr>
        <w:t>Source</w:t>
      </w:r>
      <w:r w:rsidR="0019180E" w:rsidRPr="008F00C9">
        <w:rPr>
          <w:rFonts w:ascii="Times New Roman" w:hAnsi="Times New Roman" w:cs="Times New Roman"/>
          <w:spacing w:val="-4"/>
          <w:sz w:val="24"/>
          <w:szCs w:val="24"/>
        </w:rPr>
        <w:t xml:space="preserve">: </w:t>
      </w:r>
      <w:r>
        <w:rPr>
          <w:rFonts w:ascii="Times New Roman" w:hAnsi="Times New Roman" w:cs="Times New Roman"/>
          <w:spacing w:val="-4"/>
          <w:sz w:val="24"/>
          <w:szCs w:val="24"/>
        </w:rPr>
        <w:t xml:space="preserve">author’s own processing using </w:t>
      </w:r>
      <w:sdt>
        <w:sdtPr>
          <w:rPr>
            <w:rFonts w:ascii="Times New Roman" w:hAnsi="Times New Roman" w:cs="Times New Roman"/>
            <w:spacing w:val="-6"/>
            <w:sz w:val="24"/>
            <w:szCs w:val="24"/>
          </w:rPr>
          <w:id w:val="25204946"/>
          <w:citation/>
        </w:sdtPr>
        <w:sdtContent>
          <w:r w:rsidR="004B4616" w:rsidRPr="008F00C9">
            <w:rPr>
              <w:rFonts w:ascii="Times New Roman" w:hAnsi="Times New Roman" w:cs="Times New Roman"/>
              <w:spacing w:val="-6"/>
              <w:sz w:val="24"/>
              <w:szCs w:val="24"/>
            </w:rPr>
            <w:fldChar w:fldCharType="begin"/>
          </w:r>
          <w:r w:rsidR="0019180E" w:rsidRPr="008F00C9">
            <w:rPr>
              <w:rFonts w:ascii="Times New Roman" w:hAnsi="Times New Roman" w:cs="Times New Roman"/>
              <w:spacing w:val="-6"/>
              <w:sz w:val="24"/>
              <w:szCs w:val="24"/>
            </w:rPr>
            <w:instrText xml:space="preserve"> CITATION Ped03 \l 1033 </w:instrText>
          </w:r>
          <w:r w:rsidR="004B4616" w:rsidRPr="008F00C9">
            <w:rPr>
              <w:rFonts w:ascii="Times New Roman" w:hAnsi="Times New Roman" w:cs="Times New Roman"/>
              <w:spacing w:val="-6"/>
              <w:sz w:val="24"/>
              <w:szCs w:val="24"/>
            </w:rPr>
            <w:fldChar w:fldCharType="separate"/>
          </w:r>
          <w:r w:rsidR="0019180E" w:rsidRPr="008F00C9">
            <w:rPr>
              <w:rFonts w:ascii="Times New Roman" w:hAnsi="Times New Roman" w:cs="Times New Roman"/>
              <w:noProof/>
              <w:spacing w:val="-6"/>
              <w:sz w:val="24"/>
              <w:szCs w:val="24"/>
            </w:rPr>
            <w:t>(Pedersen &amp; Rudholm-Alfvin 2003)</w:t>
          </w:r>
          <w:r w:rsidR="004B4616" w:rsidRPr="008F00C9">
            <w:rPr>
              <w:rFonts w:ascii="Times New Roman" w:hAnsi="Times New Roman" w:cs="Times New Roman"/>
              <w:spacing w:val="-6"/>
              <w:sz w:val="24"/>
              <w:szCs w:val="24"/>
            </w:rPr>
            <w:fldChar w:fldCharType="end"/>
          </w:r>
        </w:sdtContent>
      </w:sdt>
      <w:r w:rsidR="0019180E" w:rsidRPr="008F00C9">
        <w:rPr>
          <w:rFonts w:ascii="Times New Roman" w:hAnsi="Times New Roman" w:cs="Times New Roman"/>
          <w:spacing w:val="-6"/>
          <w:sz w:val="24"/>
          <w:szCs w:val="24"/>
        </w:rPr>
        <w:t xml:space="preserve">, </w:t>
      </w:r>
      <w:sdt>
        <w:sdtPr>
          <w:rPr>
            <w:rFonts w:ascii="Times New Roman" w:hAnsi="Times New Roman" w:cs="Times New Roman"/>
            <w:spacing w:val="-6"/>
            <w:sz w:val="24"/>
            <w:szCs w:val="24"/>
          </w:rPr>
          <w:id w:val="25203787"/>
          <w:citation/>
        </w:sdtPr>
        <w:sdtContent>
          <w:r w:rsidR="004B4616" w:rsidRPr="008F00C9">
            <w:rPr>
              <w:rFonts w:ascii="Times New Roman" w:hAnsi="Times New Roman" w:cs="Times New Roman"/>
              <w:spacing w:val="-6"/>
              <w:sz w:val="24"/>
              <w:szCs w:val="24"/>
            </w:rPr>
            <w:fldChar w:fldCharType="begin"/>
          </w:r>
          <w:r w:rsidR="0019180E" w:rsidRPr="008F00C9">
            <w:rPr>
              <w:rFonts w:ascii="Times New Roman" w:hAnsi="Times New Roman" w:cs="Times New Roman"/>
              <w:spacing w:val="-6"/>
              <w:sz w:val="24"/>
              <w:szCs w:val="24"/>
            </w:rPr>
            <w:instrText xml:space="preserve"> CITATION Fil08 \l 1048 </w:instrText>
          </w:r>
          <w:r w:rsidR="004B4616" w:rsidRPr="008F00C9">
            <w:rPr>
              <w:rFonts w:ascii="Times New Roman" w:hAnsi="Times New Roman" w:cs="Times New Roman"/>
              <w:spacing w:val="-6"/>
              <w:sz w:val="24"/>
              <w:szCs w:val="24"/>
            </w:rPr>
            <w:fldChar w:fldCharType="separate"/>
          </w:r>
          <w:r w:rsidR="0019180E" w:rsidRPr="008F00C9">
            <w:rPr>
              <w:rFonts w:ascii="Times New Roman" w:hAnsi="Times New Roman" w:cs="Times New Roman"/>
              <w:noProof/>
              <w:spacing w:val="-6"/>
              <w:sz w:val="24"/>
              <w:szCs w:val="24"/>
            </w:rPr>
            <w:t>(Filip 2008)</w:t>
          </w:r>
          <w:r w:rsidR="004B4616" w:rsidRPr="008F00C9">
            <w:rPr>
              <w:rFonts w:ascii="Times New Roman" w:hAnsi="Times New Roman" w:cs="Times New Roman"/>
              <w:spacing w:val="-6"/>
              <w:sz w:val="24"/>
              <w:szCs w:val="24"/>
            </w:rPr>
            <w:fldChar w:fldCharType="end"/>
          </w:r>
        </w:sdtContent>
      </w:sdt>
      <w:r w:rsidR="0019180E" w:rsidRPr="008F00C9">
        <w:rPr>
          <w:rFonts w:ascii="Times New Roman" w:hAnsi="Times New Roman" w:cs="Times New Roman"/>
          <w:spacing w:val="-6"/>
          <w:sz w:val="24"/>
          <w:szCs w:val="24"/>
        </w:rPr>
        <w:t xml:space="preserve">, </w:t>
      </w:r>
      <w:sdt>
        <w:sdtPr>
          <w:rPr>
            <w:rFonts w:ascii="Times New Roman" w:hAnsi="Times New Roman" w:cs="Times New Roman"/>
            <w:spacing w:val="-6"/>
            <w:sz w:val="24"/>
            <w:szCs w:val="24"/>
          </w:rPr>
          <w:id w:val="25204947"/>
          <w:citation/>
        </w:sdtPr>
        <w:sdtContent>
          <w:r w:rsidR="004B4616" w:rsidRPr="008F00C9">
            <w:rPr>
              <w:rFonts w:ascii="Times New Roman" w:hAnsi="Times New Roman" w:cs="Times New Roman"/>
              <w:spacing w:val="-6"/>
              <w:sz w:val="24"/>
              <w:szCs w:val="24"/>
            </w:rPr>
            <w:fldChar w:fldCharType="begin"/>
          </w:r>
          <w:r w:rsidR="0019180E" w:rsidRPr="008F00C9">
            <w:rPr>
              <w:rFonts w:ascii="Times New Roman" w:hAnsi="Times New Roman" w:cs="Times New Roman"/>
              <w:spacing w:val="-6"/>
              <w:sz w:val="24"/>
              <w:szCs w:val="24"/>
            </w:rPr>
            <w:instrText xml:space="preserve"> CITATION Niț09 \l 1033 </w:instrText>
          </w:r>
          <w:r w:rsidR="004B4616" w:rsidRPr="008F00C9">
            <w:rPr>
              <w:rFonts w:ascii="Times New Roman" w:hAnsi="Times New Roman" w:cs="Times New Roman"/>
              <w:spacing w:val="-6"/>
              <w:sz w:val="24"/>
              <w:szCs w:val="24"/>
            </w:rPr>
            <w:fldChar w:fldCharType="separate"/>
          </w:r>
          <w:r w:rsidR="0019180E" w:rsidRPr="008F00C9">
            <w:rPr>
              <w:rFonts w:ascii="Times New Roman" w:hAnsi="Times New Roman" w:cs="Times New Roman"/>
              <w:noProof/>
              <w:spacing w:val="-6"/>
              <w:sz w:val="24"/>
              <w:szCs w:val="24"/>
            </w:rPr>
            <w:t>(Nițu 2009)</w:t>
          </w:r>
          <w:r w:rsidR="004B4616" w:rsidRPr="008F00C9">
            <w:rPr>
              <w:rFonts w:ascii="Times New Roman" w:hAnsi="Times New Roman" w:cs="Times New Roman"/>
              <w:spacing w:val="-6"/>
              <w:sz w:val="24"/>
              <w:szCs w:val="24"/>
            </w:rPr>
            <w:fldChar w:fldCharType="end"/>
          </w:r>
        </w:sdtContent>
      </w:sdt>
      <w:r w:rsidR="0019180E" w:rsidRPr="008F00C9">
        <w:rPr>
          <w:rFonts w:ascii="Times New Roman" w:hAnsi="Times New Roman" w:cs="Times New Roman"/>
          <w:spacing w:val="-6"/>
          <w:sz w:val="24"/>
          <w:szCs w:val="24"/>
        </w:rPr>
        <w:t xml:space="preserve">, </w:t>
      </w:r>
      <w:sdt>
        <w:sdtPr>
          <w:rPr>
            <w:rFonts w:ascii="Times New Roman" w:hAnsi="Times New Roman" w:cs="Times New Roman"/>
            <w:spacing w:val="-6"/>
            <w:sz w:val="24"/>
            <w:szCs w:val="24"/>
          </w:rPr>
          <w:id w:val="6152910"/>
          <w:citation/>
        </w:sdtPr>
        <w:sdtContent>
          <w:r w:rsidR="004B4616" w:rsidRPr="008F00C9">
            <w:rPr>
              <w:rFonts w:ascii="Times New Roman" w:hAnsi="Times New Roman" w:cs="Times New Roman"/>
              <w:spacing w:val="-6"/>
              <w:sz w:val="24"/>
              <w:szCs w:val="24"/>
            </w:rPr>
            <w:fldChar w:fldCharType="begin"/>
          </w:r>
          <w:r w:rsidR="0019180E" w:rsidRPr="008F00C9">
            <w:rPr>
              <w:rFonts w:ascii="Times New Roman" w:hAnsi="Times New Roman" w:cs="Times New Roman"/>
              <w:spacing w:val="-6"/>
              <w:sz w:val="24"/>
              <w:szCs w:val="24"/>
            </w:rPr>
            <w:instrText xml:space="preserve"> CITATION Luc10 \l 1048 </w:instrText>
          </w:r>
          <w:r w:rsidR="004B4616" w:rsidRPr="008F00C9">
            <w:rPr>
              <w:rFonts w:ascii="Times New Roman" w:hAnsi="Times New Roman" w:cs="Times New Roman"/>
              <w:spacing w:val="-6"/>
              <w:sz w:val="24"/>
              <w:szCs w:val="24"/>
            </w:rPr>
            <w:fldChar w:fldCharType="separate"/>
          </w:r>
          <w:r w:rsidR="0019180E" w:rsidRPr="008F00C9">
            <w:rPr>
              <w:rFonts w:ascii="Times New Roman" w:hAnsi="Times New Roman" w:cs="Times New Roman"/>
              <w:noProof/>
              <w:spacing w:val="-6"/>
              <w:sz w:val="24"/>
              <w:szCs w:val="24"/>
            </w:rPr>
            <w:t>(Luckoff 2010)</w:t>
          </w:r>
          <w:r w:rsidR="004B4616" w:rsidRPr="008F00C9">
            <w:rPr>
              <w:rFonts w:ascii="Times New Roman" w:hAnsi="Times New Roman" w:cs="Times New Roman"/>
              <w:spacing w:val="-6"/>
              <w:sz w:val="24"/>
              <w:szCs w:val="24"/>
            </w:rPr>
            <w:fldChar w:fldCharType="end"/>
          </w:r>
        </w:sdtContent>
      </w:sdt>
      <w:r>
        <w:rPr>
          <w:rFonts w:ascii="Times New Roman" w:hAnsi="Times New Roman" w:cs="Times New Roman"/>
          <w:spacing w:val="-6"/>
          <w:sz w:val="24"/>
          <w:szCs w:val="24"/>
        </w:rPr>
        <w:t xml:space="preserve"> referrences</w:t>
      </w:r>
    </w:p>
    <w:p w:rsidR="0048787B" w:rsidRPr="0048787B" w:rsidRDefault="0048787B" w:rsidP="0048787B">
      <w:pPr>
        <w:spacing w:after="120" w:line="240" w:lineRule="auto"/>
        <w:jc w:val="both"/>
        <w:rPr>
          <w:rFonts w:ascii="Times New Roman" w:hAnsi="Times New Roman" w:cs="Times New Roman"/>
          <w:sz w:val="12"/>
          <w:szCs w:val="12"/>
        </w:rPr>
      </w:pPr>
    </w:p>
    <w:p w:rsidR="0048787B" w:rsidRPr="0048787B" w:rsidRDefault="0048787B" w:rsidP="0048787B">
      <w:pPr>
        <w:spacing w:after="120" w:line="240" w:lineRule="auto"/>
        <w:jc w:val="both"/>
        <w:rPr>
          <w:rFonts w:ascii="Times New Roman" w:hAnsi="Times New Roman" w:cs="Times New Roman"/>
          <w:sz w:val="24"/>
          <w:szCs w:val="24"/>
        </w:rPr>
      </w:pPr>
      <w:r w:rsidRPr="0048787B">
        <w:rPr>
          <w:rFonts w:ascii="Times New Roman" w:hAnsi="Times New Roman" w:cs="Times New Roman"/>
          <w:sz w:val="24"/>
          <w:szCs w:val="24"/>
        </w:rPr>
        <w:t xml:space="preserve">To avoid </w:t>
      </w:r>
      <w:r>
        <w:rPr>
          <w:rFonts w:ascii="Times New Roman" w:hAnsi="Times New Roman" w:cs="Times New Roman"/>
          <w:sz w:val="24"/>
          <w:szCs w:val="24"/>
        </w:rPr>
        <w:t>data exhaustivity, we</w:t>
      </w:r>
      <w:r w:rsidRPr="0048787B">
        <w:rPr>
          <w:rFonts w:ascii="Times New Roman" w:hAnsi="Times New Roman" w:cs="Times New Roman"/>
          <w:sz w:val="24"/>
          <w:szCs w:val="24"/>
        </w:rPr>
        <w:t xml:space="preserve"> appreciate to use </w:t>
      </w:r>
      <w:r>
        <w:rPr>
          <w:rFonts w:ascii="Times New Roman" w:hAnsi="Times New Roman" w:cs="Times New Roman"/>
          <w:sz w:val="24"/>
          <w:szCs w:val="24"/>
        </w:rPr>
        <w:t>within the research the traditional</w:t>
      </w:r>
      <w:r w:rsidRPr="0048787B">
        <w:rPr>
          <w:rFonts w:ascii="Times New Roman" w:hAnsi="Times New Roman" w:cs="Times New Roman"/>
          <w:sz w:val="24"/>
          <w:szCs w:val="24"/>
        </w:rPr>
        <w:t xml:space="preserve"> rates </w:t>
      </w:r>
      <w:r>
        <w:rPr>
          <w:rFonts w:ascii="Times New Roman" w:hAnsi="Times New Roman" w:cs="Times New Roman"/>
          <w:sz w:val="24"/>
          <w:szCs w:val="24"/>
        </w:rPr>
        <w:t xml:space="preserve">to </w:t>
      </w:r>
      <w:r w:rsidRPr="0048787B">
        <w:rPr>
          <w:rFonts w:ascii="Times New Roman" w:hAnsi="Times New Roman" w:cs="Times New Roman"/>
          <w:sz w:val="24"/>
          <w:szCs w:val="24"/>
        </w:rPr>
        <w:t xml:space="preserve">relate </w:t>
      </w:r>
      <w:r>
        <w:rPr>
          <w:rFonts w:ascii="Times New Roman" w:hAnsi="Times New Roman" w:cs="Times New Roman"/>
          <w:sz w:val="24"/>
          <w:szCs w:val="24"/>
        </w:rPr>
        <w:t>the</w:t>
      </w:r>
      <w:r w:rsidRPr="0048787B">
        <w:rPr>
          <w:rFonts w:ascii="Times New Roman" w:hAnsi="Times New Roman" w:cs="Times New Roman"/>
          <w:sz w:val="24"/>
          <w:szCs w:val="24"/>
        </w:rPr>
        <w:t xml:space="preserve"> </w:t>
      </w:r>
      <w:r>
        <w:rPr>
          <w:rFonts w:ascii="Times New Roman" w:hAnsi="Times New Roman" w:cs="Times New Roman"/>
          <w:sz w:val="24"/>
          <w:szCs w:val="24"/>
        </w:rPr>
        <w:t>performance evaluation</w:t>
      </w:r>
      <w:r w:rsidRPr="0048787B">
        <w:rPr>
          <w:rFonts w:ascii="Times New Roman" w:hAnsi="Times New Roman" w:cs="Times New Roman"/>
          <w:sz w:val="24"/>
          <w:szCs w:val="24"/>
        </w:rPr>
        <w:t xml:space="preserve">, </w:t>
      </w:r>
      <w:r>
        <w:rPr>
          <w:rFonts w:ascii="Times New Roman" w:hAnsi="Times New Roman" w:cs="Times New Roman"/>
          <w:sz w:val="24"/>
          <w:szCs w:val="24"/>
        </w:rPr>
        <w:t>due to the fact that</w:t>
      </w:r>
      <w:r w:rsidRPr="0048787B">
        <w:rPr>
          <w:rFonts w:ascii="Times New Roman" w:hAnsi="Times New Roman" w:cs="Times New Roman"/>
          <w:sz w:val="24"/>
          <w:szCs w:val="24"/>
        </w:rPr>
        <w:t xml:space="preserve"> </w:t>
      </w:r>
      <w:r>
        <w:rPr>
          <w:rFonts w:ascii="Times New Roman" w:hAnsi="Times New Roman" w:cs="Times New Roman"/>
          <w:sz w:val="24"/>
          <w:szCs w:val="24"/>
        </w:rPr>
        <w:t>local historical</w:t>
      </w:r>
      <w:r w:rsidRPr="0048787B">
        <w:rPr>
          <w:rFonts w:ascii="Times New Roman" w:hAnsi="Times New Roman" w:cs="Times New Roman"/>
          <w:sz w:val="24"/>
          <w:szCs w:val="24"/>
        </w:rPr>
        <w:t xml:space="preserve"> records </w:t>
      </w:r>
      <w:r>
        <w:rPr>
          <w:rFonts w:ascii="Times New Roman" w:hAnsi="Times New Roman" w:cs="Times New Roman"/>
          <w:sz w:val="24"/>
          <w:szCs w:val="24"/>
        </w:rPr>
        <w:t>are</w:t>
      </w:r>
      <w:r w:rsidRPr="0048787B">
        <w:rPr>
          <w:rFonts w:ascii="Times New Roman" w:hAnsi="Times New Roman" w:cs="Times New Roman"/>
          <w:sz w:val="24"/>
          <w:szCs w:val="24"/>
        </w:rPr>
        <w:t xml:space="preserve"> barely develop</w:t>
      </w:r>
      <w:r>
        <w:rPr>
          <w:rFonts w:ascii="Times New Roman" w:hAnsi="Times New Roman" w:cs="Times New Roman"/>
          <w:sz w:val="24"/>
          <w:szCs w:val="24"/>
        </w:rPr>
        <w:t>ed since 2000. At the same time</w:t>
      </w:r>
      <w:r w:rsidRPr="0048787B">
        <w:rPr>
          <w:rFonts w:ascii="Times New Roman" w:hAnsi="Times New Roman" w:cs="Times New Roman"/>
          <w:sz w:val="24"/>
          <w:szCs w:val="24"/>
        </w:rPr>
        <w:t xml:space="preserve">, due to the </w:t>
      </w:r>
      <w:r>
        <w:rPr>
          <w:rFonts w:ascii="Times New Roman" w:hAnsi="Times New Roman" w:cs="Times New Roman"/>
          <w:sz w:val="24"/>
          <w:szCs w:val="24"/>
        </w:rPr>
        <w:t xml:space="preserve">fact that </w:t>
      </w:r>
      <w:r w:rsidRPr="0048787B">
        <w:rPr>
          <w:rFonts w:ascii="Times New Roman" w:hAnsi="Times New Roman" w:cs="Times New Roman"/>
          <w:sz w:val="24"/>
          <w:szCs w:val="24"/>
        </w:rPr>
        <w:t>the majority of the</w:t>
      </w:r>
      <w:r>
        <w:rPr>
          <w:rFonts w:ascii="Times New Roman" w:hAnsi="Times New Roman" w:cs="Times New Roman"/>
          <w:sz w:val="24"/>
          <w:szCs w:val="24"/>
        </w:rPr>
        <w:t xml:space="preserve"> alternative</w:t>
      </w:r>
      <w:r w:rsidRPr="0048787B">
        <w:rPr>
          <w:rFonts w:ascii="Times New Roman" w:hAnsi="Times New Roman" w:cs="Times New Roman"/>
          <w:sz w:val="24"/>
          <w:szCs w:val="24"/>
        </w:rPr>
        <w:t xml:space="preserve"> methods are specific to the US fund market</w:t>
      </w:r>
      <w:r>
        <w:rPr>
          <w:rFonts w:ascii="Times New Roman" w:hAnsi="Times New Roman" w:cs="Times New Roman"/>
          <w:sz w:val="24"/>
          <w:szCs w:val="24"/>
        </w:rPr>
        <w:t xml:space="preserve">, we encounter </w:t>
      </w:r>
      <w:r w:rsidRPr="0048787B">
        <w:rPr>
          <w:rFonts w:ascii="Times New Roman" w:hAnsi="Times New Roman" w:cs="Times New Roman"/>
          <w:sz w:val="24"/>
          <w:szCs w:val="24"/>
        </w:rPr>
        <w:t xml:space="preserve">difficulty </w:t>
      </w:r>
      <w:r>
        <w:rPr>
          <w:rFonts w:ascii="Times New Roman" w:hAnsi="Times New Roman" w:cs="Times New Roman"/>
          <w:sz w:val="24"/>
          <w:szCs w:val="24"/>
        </w:rPr>
        <w:t>in</w:t>
      </w:r>
      <w:r w:rsidRPr="0048787B">
        <w:rPr>
          <w:rFonts w:ascii="Times New Roman" w:hAnsi="Times New Roman" w:cs="Times New Roman"/>
          <w:sz w:val="24"/>
          <w:szCs w:val="24"/>
        </w:rPr>
        <w:t xml:space="preserve"> transposi</w:t>
      </w:r>
      <w:r>
        <w:rPr>
          <w:rFonts w:ascii="Times New Roman" w:hAnsi="Times New Roman" w:cs="Times New Roman"/>
          <w:sz w:val="24"/>
          <w:szCs w:val="24"/>
        </w:rPr>
        <w:t>ng</w:t>
      </w:r>
      <w:r w:rsidRPr="0048787B">
        <w:rPr>
          <w:rFonts w:ascii="Times New Roman" w:hAnsi="Times New Roman" w:cs="Times New Roman"/>
          <w:sz w:val="24"/>
          <w:szCs w:val="24"/>
        </w:rPr>
        <w:t xml:space="preserve"> </w:t>
      </w:r>
      <w:r>
        <w:rPr>
          <w:rFonts w:ascii="Times New Roman" w:hAnsi="Times New Roman" w:cs="Times New Roman"/>
          <w:sz w:val="24"/>
          <w:szCs w:val="24"/>
        </w:rPr>
        <w:t>them to the domestic market.</w:t>
      </w:r>
      <w:r w:rsidRPr="0048787B">
        <w:rPr>
          <w:rFonts w:ascii="Times New Roman" w:hAnsi="Times New Roman" w:cs="Times New Roman"/>
          <w:sz w:val="24"/>
          <w:szCs w:val="24"/>
        </w:rPr>
        <w:t xml:space="preserve"> We recognize the shortcomings of traditional mea</w:t>
      </w:r>
      <w:r>
        <w:rPr>
          <w:rFonts w:ascii="Times New Roman" w:hAnsi="Times New Roman" w:cs="Times New Roman"/>
          <w:sz w:val="24"/>
          <w:szCs w:val="24"/>
        </w:rPr>
        <w:t>sures for assessing performance</w:t>
      </w:r>
      <w:r w:rsidRPr="0048787B">
        <w:rPr>
          <w:rFonts w:ascii="Times New Roman" w:hAnsi="Times New Roman" w:cs="Times New Roman"/>
          <w:sz w:val="24"/>
          <w:szCs w:val="24"/>
        </w:rPr>
        <w:t xml:space="preserve">, but consider </w:t>
      </w:r>
      <w:r>
        <w:rPr>
          <w:rFonts w:ascii="Times New Roman" w:hAnsi="Times New Roman" w:cs="Times New Roman"/>
          <w:sz w:val="24"/>
          <w:szCs w:val="24"/>
        </w:rPr>
        <w:t>them</w:t>
      </w:r>
      <w:r w:rsidRPr="0048787B">
        <w:rPr>
          <w:rFonts w:ascii="Times New Roman" w:hAnsi="Times New Roman" w:cs="Times New Roman"/>
          <w:sz w:val="24"/>
          <w:szCs w:val="24"/>
        </w:rPr>
        <w:t xml:space="preserve"> appropriate to use such appreciation rates for </w:t>
      </w:r>
      <w:r>
        <w:rPr>
          <w:rFonts w:ascii="Times New Roman" w:hAnsi="Times New Roman" w:cs="Times New Roman"/>
          <w:sz w:val="24"/>
          <w:szCs w:val="24"/>
        </w:rPr>
        <w:t>the domestic investment fund market</w:t>
      </w:r>
      <w:r w:rsidRPr="0048787B">
        <w:rPr>
          <w:rFonts w:ascii="Times New Roman" w:hAnsi="Times New Roman" w:cs="Times New Roman"/>
          <w:sz w:val="24"/>
          <w:szCs w:val="24"/>
        </w:rPr>
        <w:t xml:space="preserve"> as long as these investment vehicles benefit from a diversified portfolio differentiated only by the degree of exposure in assets and a market risk near</w:t>
      </w:r>
      <w:r>
        <w:rPr>
          <w:rFonts w:ascii="Times New Roman" w:hAnsi="Times New Roman" w:cs="Times New Roman"/>
          <w:sz w:val="24"/>
          <w:szCs w:val="24"/>
        </w:rPr>
        <w:t xml:space="preserve"> total risk the portfolio. Thus</w:t>
      </w:r>
      <w:r w:rsidRPr="0048787B">
        <w:rPr>
          <w:rFonts w:ascii="Times New Roman" w:hAnsi="Times New Roman" w:cs="Times New Roman"/>
          <w:sz w:val="24"/>
          <w:szCs w:val="24"/>
        </w:rPr>
        <w:t xml:space="preserve">, this situation is equivalent to </w:t>
      </w:r>
      <w:r>
        <w:rPr>
          <w:rFonts w:ascii="Times New Roman" w:hAnsi="Times New Roman" w:cs="Times New Roman"/>
          <w:sz w:val="24"/>
          <w:szCs w:val="24"/>
        </w:rPr>
        <w:t xml:space="preserve">the </w:t>
      </w:r>
      <w:r w:rsidRPr="0048787B">
        <w:rPr>
          <w:rFonts w:ascii="Times New Roman" w:hAnsi="Times New Roman" w:cs="Times New Roman"/>
          <w:sz w:val="24"/>
          <w:szCs w:val="24"/>
        </w:rPr>
        <w:t>application</w:t>
      </w:r>
      <w:r>
        <w:rPr>
          <w:rFonts w:ascii="Times New Roman" w:hAnsi="Times New Roman" w:cs="Times New Roman"/>
          <w:sz w:val="24"/>
          <w:szCs w:val="24"/>
        </w:rPr>
        <w:t xml:space="preserve"> of the </w:t>
      </w:r>
      <w:r w:rsidRPr="0048787B">
        <w:rPr>
          <w:rFonts w:ascii="Times New Roman" w:hAnsi="Times New Roman" w:cs="Times New Roman"/>
          <w:sz w:val="24"/>
          <w:szCs w:val="24"/>
        </w:rPr>
        <w:t xml:space="preserve">classical rates </w:t>
      </w:r>
      <w:r>
        <w:rPr>
          <w:rFonts w:ascii="Times New Roman" w:hAnsi="Times New Roman" w:cs="Times New Roman"/>
          <w:sz w:val="24"/>
          <w:szCs w:val="24"/>
        </w:rPr>
        <w:t>i.e. Sharpe</w:t>
      </w:r>
      <w:r w:rsidRPr="0048787B">
        <w:rPr>
          <w:rFonts w:ascii="Times New Roman" w:hAnsi="Times New Roman" w:cs="Times New Roman"/>
          <w:sz w:val="24"/>
          <w:szCs w:val="24"/>
        </w:rPr>
        <w:t>, Treynor and Jensen</w:t>
      </w:r>
      <w:r>
        <w:rPr>
          <w:rFonts w:ascii="Times New Roman" w:hAnsi="Times New Roman" w:cs="Times New Roman"/>
          <w:sz w:val="24"/>
          <w:szCs w:val="24"/>
        </w:rPr>
        <w:t xml:space="preserve"> rates</w:t>
      </w:r>
      <w:r w:rsidRPr="0048787B">
        <w:rPr>
          <w:rFonts w:ascii="Times New Roman" w:hAnsi="Times New Roman" w:cs="Times New Roman"/>
          <w:sz w:val="24"/>
          <w:szCs w:val="24"/>
        </w:rPr>
        <w:t>.</w:t>
      </w:r>
    </w:p>
    <w:p w:rsidR="0048787B" w:rsidRDefault="0048787B" w:rsidP="00E70846">
      <w:pPr>
        <w:pStyle w:val="HTMLPreformatted"/>
        <w:shd w:val="clear" w:color="auto" w:fill="FFFFFF"/>
        <w:spacing w:after="120"/>
        <w:jc w:val="both"/>
        <w:rPr>
          <w:rFonts w:ascii="Times New Roman" w:eastAsiaTheme="minorEastAsia" w:hAnsi="Times New Roman" w:cs="Times New Roman"/>
          <w:sz w:val="24"/>
          <w:szCs w:val="24"/>
        </w:rPr>
      </w:pPr>
      <w:r w:rsidRPr="0048787B">
        <w:rPr>
          <w:rFonts w:ascii="Times New Roman" w:eastAsiaTheme="minorEastAsia" w:hAnsi="Times New Roman" w:cs="Times New Roman"/>
          <w:sz w:val="24"/>
          <w:szCs w:val="24"/>
        </w:rPr>
        <w:t xml:space="preserve">The aim of our research is to </w:t>
      </w:r>
      <w:r>
        <w:rPr>
          <w:rFonts w:ascii="Times New Roman" w:eastAsiaTheme="minorEastAsia" w:hAnsi="Times New Roman" w:cs="Times New Roman"/>
          <w:sz w:val="24"/>
          <w:szCs w:val="24"/>
        </w:rPr>
        <w:t xml:space="preserve">examine the </w:t>
      </w:r>
      <w:r w:rsidRPr="0048787B">
        <w:rPr>
          <w:rFonts w:ascii="Times New Roman" w:eastAsiaTheme="minorEastAsia" w:hAnsi="Times New Roman" w:cs="Times New Roman"/>
          <w:sz w:val="24"/>
          <w:szCs w:val="24"/>
        </w:rPr>
        <w:t>classical rates performance measurement (</w:t>
      </w:r>
      <w:r>
        <w:rPr>
          <w:rFonts w:ascii="Times New Roman" w:eastAsiaTheme="minorEastAsia" w:hAnsi="Times New Roman" w:cs="Times New Roman"/>
          <w:sz w:val="24"/>
          <w:szCs w:val="24"/>
        </w:rPr>
        <w:t>Sharpe</w:t>
      </w:r>
      <w:r w:rsidRPr="0048787B">
        <w:rPr>
          <w:rFonts w:ascii="Times New Roman" w:eastAsiaTheme="minorEastAsia" w:hAnsi="Times New Roman" w:cs="Times New Roman"/>
          <w:sz w:val="24"/>
          <w:szCs w:val="24"/>
        </w:rPr>
        <w:t xml:space="preserve">, Treynor and Jensen) </w:t>
      </w:r>
      <w:r>
        <w:rPr>
          <w:rFonts w:ascii="Times New Roman" w:eastAsiaTheme="minorEastAsia" w:hAnsi="Times New Roman" w:cs="Times New Roman"/>
          <w:sz w:val="24"/>
          <w:szCs w:val="24"/>
        </w:rPr>
        <w:t xml:space="preserve">and </w:t>
      </w:r>
      <w:r w:rsidRPr="0048787B">
        <w:rPr>
          <w:rFonts w:ascii="Times New Roman" w:eastAsiaTheme="minorEastAsia" w:hAnsi="Times New Roman" w:cs="Times New Roman"/>
          <w:sz w:val="24"/>
          <w:szCs w:val="24"/>
        </w:rPr>
        <w:t xml:space="preserve">to get an overview of the hierarchy based </w:t>
      </w:r>
      <w:r>
        <w:rPr>
          <w:rFonts w:ascii="Times New Roman" w:eastAsiaTheme="minorEastAsia" w:hAnsi="Times New Roman" w:cs="Times New Roman"/>
          <w:sz w:val="24"/>
          <w:szCs w:val="24"/>
        </w:rPr>
        <w:t>over the domestic mutual funds market</w:t>
      </w:r>
      <w:r w:rsidRPr="0048787B">
        <w:rPr>
          <w:rFonts w:ascii="Times New Roman" w:eastAsiaTheme="minorEastAsia" w:hAnsi="Times New Roman" w:cs="Times New Roman"/>
          <w:sz w:val="24"/>
          <w:szCs w:val="24"/>
        </w:rPr>
        <w:t xml:space="preserve"> . In determining </w:t>
      </w:r>
      <w:r>
        <w:rPr>
          <w:rFonts w:ascii="Times New Roman" w:eastAsiaTheme="minorEastAsia" w:hAnsi="Times New Roman" w:cs="Times New Roman"/>
          <w:sz w:val="24"/>
          <w:szCs w:val="24"/>
        </w:rPr>
        <w:t xml:space="preserve">these </w:t>
      </w:r>
      <w:r w:rsidRPr="0048787B">
        <w:rPr>
          <w:rFonts w:ascii="Times New Roman" w:eastAsiaTheme="minorEastAsia" w:hAnsi="Times New Roman" w:cs="Times New Roman"/>
          <w:sz w:val="24"/>
          <w:szCs w:val="24"/>
        </w:rPr>
        <w:t>rates it was necessary to obtain coefficient</w:t>
      </w:r>
      <w:r>
        <w:rPr>
          <w:rFonts w:ascii="Times New Roman" w:eastAsiaTheme="minorEastAsia" w:hAnsi="Times New Roman" w:cs="Times New Roman"/>
          <w:sz w:val="24"/>
          <w:szCs w:val="24"/>
        </w:rPr>
        <w:t>s of correlation and volatility</w:t>
      </w:r>
      <w:r w:rsidRPr="0048787B">
        <w:rPr>
          <w:rFonts w:ascii="Times New Roman" w:eastAsiaTheme="minorEastAsia" w:hAnsi="Times New Roman" w:cs="Times New Roman"/>
          <w:sz w:val="24"/>
          <w:szCs w:val="24"/>
        </w:rPr>
        <w:t xml:space="preserve">, including standard deviation for each category of </w:t>
      </w:r>
      <w:r>
        <w:rPr>
          <w:rFonts w:ascii="Times New Roman" w:eastAsiaTheme="minorEastAsia" w:hAnsi="Times New Roman" w:cs="Times New Roman"/>
          <w:sz w:val="24"/>
          <w:szCs w:val="24"/>
        </w:rPr>
        <w:t>the mutual funds - equity funds (abrrevatiated here after as FDA</w:t>
      </w:r>
      <w:r w:rsidRPr="0048787B">
        <w:rPr>
          <w:rFonts w:ascii="Times New Roman" w:eastAsiaTheme="minorEastAsia" w:hAnsi="Times New Roman" w:cs="Times New Roman"/>
          <w:sz w:val="24"/>
          <w:szCs w:val="24"/>
        </w:rPr>
        <w:t>), diversified funds (</w:t>
      </w:r>
      <w:r>
        <w:rPr>
          <w:rFonts w:ascii="Times New Roman" w:eastAsiaTheme="minorEastAsia" w:hAnsi="Times New Roman" w:cs="Times New Roman"/>
          <w:sz w:val="24"/>
          <w:szCs w:val="24"/>
        </w:rPr>
        <w:t xml:space="preserve">abrrevatiated here after as </w:t>
      </w:r>
      <w:r w:rsidRPr="0048787B">
        <w:rPr>
          <w:rFonts w:ascii="Times New Roman" w:eastAsiaTheme="minorEastAsia" w:hAnsi="Times New Roman" w:cs="Times New Roman"/>
          <w:sz w:val="24"/>
          <w:szCs w:val="24"/>
        </w:rPr>
        <w:t xml:space="preserve">FDD) and funds bond </w:t>
      </w:r>
      <w:r>
        <w:rPr>
          <w:rFonts w:ascii="Times New Roman" w:eastAsiaTheme="minorEastAsia" w:hAnsi="Times New Roman" w:cs="Times New Roman"/>
          <w:sz w:val="24"/>
          <w:szCs w:val="24"/>
        </w:rPr>
        <w:t>(abrrevatiated here after as FDO)</w:t>
      </w:r>
      <w:r w:rsidRPr="0048787B">
        <w:rPr>
          <w:rFonts w:ascii="Times New Roman" w:eastAsiaTheme="minorEastAsia" w:hAnsi="Times New Roman" w:cs="Times New Roman"/>
          <w:sz w:val="24"/>
          <w:szCs w:val="24"/>
        </w:rPr>
        <w:t xml:space="preserve">. We exclude from the analysis </w:t>
      </w:r>
      <w:r>
        <w:rPr>
          <w:rFonts w:ascii="Times New Roman" w:eastAsiaTheme="minorEastAsia" w:hAnsi="Times New Roman" w:cs="Times New Roman"/>
          <w:sz w:val="24"/>
          <w:szCs w:val="24"/>
        </w:rPr>
        <w:t>the</w:t>
      </w:r>
      <w:r w:rsidRPr="0048787B">
        <w:rPr>
          <w:rFonts w:ascii="Times New Roman" w:eastAsiaTheme="minorEastAsia" w:hAnsi="Times New Roman" w:cs="Times New Roman"/>
          <w:sz w:val="24"/>
          <w:szCs w:val="24"/>
        </w:rPr>
        <w:t xml:space="preserve"> mone</w:t>
      </w:r>
      <w:r>
        <w:rPr>
          <w:rFonts w:ascii="Times New Roman" w:eastAsiaTheme="minorEastAsia" w:hAnsi="Times New Roman" w:cs="Times New Roman"/>
          <w:sz w:val="24"/>
          <w:szCs w:val="24"/>
        </w:rPr>
        <w:t>y market</w:t>
      </w:r>
      <w:r w:rsidRPr="0048787B">
        <w:rPr>
          <w:rFonts w:ascii="Times New Roman" w:eastAsiaTheme="minorEastAsia" w:hAnsi="Times New Roman" w:cs="Times New Roman"/>
          <w:sz w:val="24"/>
          <w:szCs w:val="24"/>
        </w:rPr>
        <w:t xml:space="preserve"> funds </w:t>
      </w:r>
      <w:r>
        <w:rPr>
          <w:rFonts w:ascii="Times New Roman" w:eastAsiaTheme="minorEastAsia" w:hAnsi="Times New Roman" w:cs="Times New Roman"/>
          <w:sz w:val="24"/>
          <w:szCs w:val="24"/>
        </w:rPr>
        <w:t>as</w:t>
      </w:r>
      <w:r w:rsidRPr="0048787B">
        <w:rPr>
          <w:rFonts w:ascii="Times New Roman" w:eastAsiaTheme="minorEastAsia" w:hAnsi="Times New Roman" w:cs="Times New Roman"/>
          <w:sz w:val="24"/>
          <w:szCs w:val="24"/>
        </w:rPr>
        <w:t xml:space="preserve"> their yield is folded in relation to </w:t>
      </w:r>
      <w:r>
        <w:rPr>
          <w:rFonts w:ascii="Times New Roman" w:eastAsiaTheme="minorEastAsia" w:hAnsi="Times New Roman" w:cs="Times New Roman"/>
          <w:sz w:val="24"/>
          <w:szCs w:val="24"/>
        </w:rPr>
        <w:t xml:space="preserve">the </w:t>
      </w:r>
      <w:r w:rsidRPr="0048787B">
        <w:rPr>
          <w:rFonts w:ascii="Times New Roman" w:eastAsiaTheme="minorEastAsia" w:hAnsi="Times New Roman" w:cs="Times New Roman"/>
          <w:sz w:val="24"/>
          <w:szCs w:val="24"/>
        </w:rPr>
        <w:t>exposure</w:t>
      </w:r>
      <w:r>
        <w:rPr>
          <w:rFonts w:ascii="Times New Roman" w:eastAsiaTheme="minorEastAsia" w:hAnsi="Times New Roman" w:cs="Times New Roman"/>
          <w:sz w:val="24"/>
          <w:szCs w:val="24"/>
        </w:rPr>
        <w:t xml:space="preserve"> of</w:t>
      </w:r>
      <w:r w:rsidRPr="0048787B">
        <w:rPr>
          <w:rFonts w:ascii="Times New Roman" w:eastAsiaTheme="minorEastAsia" w:hAnsi="Times New Roman" w:cs="Times New Roman"/>
          <w:sz w:val="24"/>
          <w:szCs w:val="24"/>
        </w:rPr>
        <w:t xml:space="preserve"> monetary instruments included in the portfolio and which confers a relative stability.</w:t>
      </w:r>
    </w:p>
    <w:p w:rsidR="00E70846" w:rsidRDefault="00E70846" w:rsidP="00E70846">
      <w:pPr>
        <w:pStyle w:val="HTMLPreformatted"/>
        <w:shd w:val="clear" w:color="auto" w:fill="FFFFFF"/>
        <w:spacing w:after="120"/>
        <w:jc w:val="both"/>
        <w:rPr>
          <w:rFonts w:ascii="Times New Roman" w:eastAsiaTheme="minorEastAsia" w:hAnsi="Times New Roman" w:cs="Times New Roman"/>
          <w:sz w:val="24"/>
          <w:szCs w:val="24"/>
        </w:rPr>
      </w:pPr>
      <w:r w:rsidRPr="00E70846">
        <w:rPr>
          <w:rFonts w:ascii="Times New Roman" w:eastAsiaTheme="minorEastAsia" w:hAnsi="Times New Roman" w:cs="Times New Roman"/>
          <w:sz w:val="24"/>
          <w:szCs w:val="24"/>
        </w:rPr>
        <w:t xml:space="preserve">To </w:t>
      </w:r>
      <w:r>
        <w:rPr>
          <w:rFonts w:ascii="Times New Roman" w:eastAsiaTheme="minorEastAsia" w:hAnsi="Times New Roman" w:cs="Times New Roman"/>
          <w:sz w:val="24"/>
          <w:szCs w:val="24"/>
        </w:rPr>
        <w:t>assess</w:t>
      </w:r>
      <w:r w:rsidRPr="00E7084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the </w:t>
      </w:r>
      <w:r w:rsidRPr="00E70846">
        <w:rPr>
          <w:rFonts w:ascii="Times New Roman" w:eastAsiaTheme="minorEastAsia" w:hAnsi="Times New Roman" w:cs="Times New Roman"/>
          <w:sz w:val="24"/>
          <w:szCs w:val="24"/>
        </w:rPr>
        <w:t xml:space="preserve">measures </w:t>
      </w:r>
      <w:r>
        <w:rPr>
          <w:rFonts w:ascii="Times New Roman" w:eastAsiaTheme="minorEastAsia" w:hAnsi="Times New Roman" w:cs="Times New Roman"/>
          <w:sz w:val="24"/>
          <w:szCs w:val="24"/>
        </w:rPr>
        <w:t xml:space="preserve">of mutual funds performance the </w:t>
      </w:r>
      <w:r w:rsidRPr="00E70846">
        <w:rPr>
          <w:rFonts w:ascii="Times New Roman" w:eastAsiaTheme="minorEastAsia" w:hAnsi="Times New Roman" w:cs="Times New Roman"/>
          <w:sz w:val="24"/>
          <w:szCs w:val="24"/>
        </w:rPr>
        <w:t xml:space="preserve">database </w:t>
      </w:r>
      <w:r>
        <w:rPr>
          <w:rFonts w:ascii="Times New Roman" w:eastAsiaTheme="minorEastAsia" w:hAnsi="Times New Roman" w:cs="Times New Roman"/>
          <w:sz w:val="24"/>
          <w:szCs w:val="24"/>
        </w:rPr>
        <w:t xml:space="preserve">considered was </w:t>
      </w:r>
      <w:r w:rsidRPr="00E70846">
        <w:rPr>
          <w:rFonts w:ascii="Times New Roman" w:eastAsiaTheme="minorEastAsia" w:hAnsi="Times New Roman" w:cs="Times New Roman"/>
          <w:sz w:val="24"/>
          <w:szCs w:val="24"/>
        </w:rPr>
        <w:t>provided by the Association of Asset Managers Romania, the Financial Supervision Aut</w:t>
      </w:r>
      <w:r>
        <w:rPr>
          <w:rFonts w:ascii="Times New Roman" w:eastAsiaTheme="minorEastAsia" w:hAnsi="Times New Roman" w:cs="Times New Roman"/>
          <w:sz w:val="24"/>
          <w:szCs w:val="24"/>
        </w:rPr>
        <w:t>hority for the period 2007-2015</w:t>
      </w:r>
      <w:r w:rsidRPr="00E7084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considering domestic </w:t>
      </w:r>
      <w:r w:rsidRPr="00E70846">
        <w:rPr>
          <w:rFonts w:ascii="Times New Roman" w:eastAsiaTheme="minorEastAsia" w:hAnsi="Times New Roman" w:cs="Times New Roman"/>
          <w:sz w:val="24"/>
          <w:szCs w:val="24"/>
        </w:rPr>
        <w:t xml:space="preserve">fund categories - 74 </w:t>
      </w:r>
      <w:r>
        <w:rPr>
          <w:rFonts w:ascii="Times New Roman" w:eastAsiaTheme="minorEastAsia" w:hAnsi="Times New Roman" w:cs="Times New Roman"/>
          <w:sz w:val="24"/>
          <w:szCs w:val="24"/>
        </w:rPr>
        <w:t>active mutual funds on the Romanian market</w:t>
      </w:r>
      <w:r w:rsidRPr="00E70846">
        <w:rPr>
          <w:rFonts w:ascii="Times New Roman" w:eastAsiaTheme="minorEastAsia" w:hAnsi="Times New Roman" w:cs="Times New Roman"/>
          <w:sz w:val="24"/>
          <w:szCs w:val="24"/>
        </w:rPr>
        <w:t>.</w:t>
      </w:r>
    </w:p>
    <w:p w:rsidR="00E70846" w:rsidRDefault="00E70846" w:rsidP="00E70846">
      <w:pPr>
        <w:pStyle w:val="HTMLPreformatted"/>
        <w:shd w:val="clear" w:color="auto" w:fill="FFFFFF"/>
        <w:spacing w:after="1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Methodogically, we focused </w:t>
      </w:r>
      <w:r w:rsidRPr="00E70846">
        <w:rPr>
          <w:rFonts w:ascii="Times New Roman" w:eastAsiaTheme="minorEastAsia" w:hAnsi="Times New Roman" w:cs="Times New Roman"/>
          <w:sz w:val="24"/>
          <w:szCs w:val="24"/>
        </w:rPr>
        <w:t xml:space="preserve">on analyzing the performance of each category of funds as benchmarks using comparable indicators in relation to </w:t>
      </w:r>
      <w:r>
        <w:rPr>
          <w:rFonts w:ascii="Times New Roman" w:eastAsiaTheme="minorEastAsia" w:hAnsi="Times New Roman" w:cs="Times New Roman"/>
          <w:sz w:val="24"/>
          <w:szCs w:val="24"/>
        </w:rPr>
        <w:t xml:space="preserve">their </w:t>
      </w:r>
      <w:r w:rsidRPr="00E70846">
        <w:rPr>
          <w:rFonts w:ascii="Times New Roman" w:eastAsiaTheme="minorEastAsia" w:hAnsi="Times New Roman" w:cs="Times New Roman"/>
          <w:sz w:val="24"/>
          <w:szCs w:val="24"/>
        </w:rPr>
        <w:t xml:space="preserve">exposure </w:t>
      </w:r>
      <w:r>
        <w:rPr>
          <w:rFonts w:ascii="Times New Roman" w:eastAsiaTheme="minorEastAsia" w:hAnsi="Times New Roman" w:cs="Times New Roman"/>
          <w:sz w:val="24"/>
          <w:szCs w:val="24"/>
        </w:rPr>
        <w:t>in the market</w:t>
      </w:r>
      <w:r w:rsidRPr="00E70846">
        <w:rPr>
          <w:rFonts w:ascii="Times New Roman" w:eastAsiaTheme="minorEastAsia" w:hAnsi="Times New Roman" w:cs="Times New Roman"/>
          <w:sz w:val="24"/>
          <w:szCs w:val="24"/>
        </w:rPr>
        <w:t>. In this respect, to assess the performance of t</w:t>
      </w:r>
      <w:r>
        <w:rPr>
          <w:rFonts w:ascii="Times New Roman" w:eastAsiaTheme="minorEastAsia" w:hAnsi="Times New Roman" w:cs="Times New Roman"/>
          <w:sz w:val="24"/>
          <w:szCs w:val="24"/>
        </w:rPr>
        <w:t>he equity funds and diversified</w:t>
      </w:r>
      <w:r w:rsidRPr="00E70846">
        <w:rPr>
          <w:rFonts w:ascii="Times New Roman" w:eastAsiaTheme="minorEastAsia" w:hAnsi="Times New Roman" w:cs="Times New Roman"/>
          <w:sz w:val="24"/>
          <w:szCs w:val="24"/>
        </w:rPr>
        <w:t>, we will consider that progress ben</w:t>
      </w:r>
      <w:r>
        <w:rPr>
          <w:rFonts w:ascii="Times New Roman" w:eastAsiaTheme="minorEastAsia" w:hAnsi="Times New Roman" w:cs="Times New Roman"/>
          <w:sz w:val="24"/>
          <w:szCs w:val="24"/>
        </w:rPr>
        <w:t>chmarks indices BET and BET -FI</w:t>
      </w:r>
      <w:r w:rsidRPr="00E7084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Instead, for low risk funds (i.e. money market and bonds funds)</w:t>
      </w:r>
      <w:r w:rsidRPr="00E70846">
        <w:rPr>
          <w:rFonts w:ascii="Times New Roman" w:eastAsiaTheme="minorEastAsia" w:hAnsi="Times New Roman" w:cs="Times New Roman"/>
          <w:sz w:val="24"/>
          <w:szCs w:val="24"/>
        </w:rPr>
        <w:t>, the most representative benchmark for their performance is the gain associated with an investment in a bank deposit capitalization for the period of calculation.</w:t>
      </w:r>
      <w:r>
        <w:rPr>
          <w:rFonts w:ascii="Times New Roman" w:eastAsiaTheme="minorEastAsia" w:hAnsi="Times New Roman" w:cs="Times New Roman"/>
          <w:sz w:val="24"/>
          <w:szCs w:val="24"/>
        </w:rPr>
        <w:t xml:space="preserve"> Therefore, </w:t>
      </w:r>
      <w:r w:rsidRPr="00E70846">
        <w:rPr>
          <w:rFonts w:ascii="Times New Roman" w:eastAsiaTheme="minorEastAsia" w:hAnsi="Times New Roman" w:cs="Times New Roman"/>
          <w:sz w:val="24"/>
          <w:szCs w:val="24"/>
        </w:rPr>
        <w:t>we used the average interest rate for 3-month deposit rate</w:t>
      </w:r>
      <w:r>
        <w:rPr>
          <w:rFonts w:ascii="Times New Roman" w:eastAsiaTheme="minorEastAsia" w:hAnsi="Times New Roman" w:cs="Times New Roman"/>
          <w:sz w:val="24"/>
          <w:szCs w:val="24"/>
        </w:rPr>
        <w:t xml:space="preserve">, the yield of </w:t>
      </w:r>
      <w:r w:rsidRPr="00E70846">
        <w:rPr>
          <w:rFonts w:ascii="Times New Roman" w:eastAsiaTheme="minorEastAsia" w:hAnsi="Times New Roman" w:cs="Times New Roman"/>
          <w:sz w:val="24"/>
          <w:szCs w:val="24"/>
        </w:rPr>
        <w:t xml:space="preserve">government securities on 6 </w:t>
      </w:r>
      <w:r>
        <w:rPr>
          <w:rFonts w:ascii="Times New Roman" w:eastAsiaTheme="minorEastAsia" w:hAnsi="Times New Roman" w:cs="Times New Roman"/>
          <w:sz w:val="24"/>
          <w:szCs w:val="24"/>
        </w:rPr>
        <w:t>–</w:t>
      </w:r>
      <w:r w:rsidRPr="00E70846">
        <w:rPr>
          <w:rFonts w:ascii="Times New Roman" w:eastAsiaTheme="minorEastAsia" w:hAnsi="Times New Roman" w:cs="Times New Roman"/>
          <w:sz w:val="24"/>
          <w:szCs w:val="24"/>
        </w:rPr>
        <w:t>month</w:t>
      </w:r>
      <w:r>
        <w:rPr>
          <w:rFonts w:ascii="Times New Roman" w:eastAsiaTheme="minorEastAsia" w:hAnsi="Times New Roman" w:cs="Times New Roman"/>
          <w:sz w:val="24"/>
          <w:szCs w:val="24"/>
        </w:rPr>
        <w:t>s, treasury bills profitability</w:t>
      </w:r>
      <w:r w:rsidRPr="00E7084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all </w:t>
      </w:r>
      <w:r w:rsidRPr="00E70846">
        <w:rPr>
          <w:rFonts w:ascii="Times New Roman" w:eastAsiaTheme="minorEastAsia" w:hAnsi="Times New Roman" w:cs="Times New Roman"/>
          <w:sz w:val="24"/>
          <w:szCs w:val="24"/>
        </w:rPr>
        <w:t>calculated according</w:t>
      </w:r>
      <w:r>
        <w:rPr>
          <w:rFonts w:ascii="Times New Roman" w:eastAsiaTheme="minorEastAsia" w:hAnsi="Times New Roman" w:cs="Times New Roman"/>
          <w:sz w:val="24"/>
          <w:szCs w:val="24"/>
        </w:rPr>
        <w:t xml:space="preserve"> to the Romanian Central Bank statistics</w:t>
      </w:r>
      <w:r w:rsidRPr="00E70846">
        <w:rPr>
          <w:rFonts w:ascii="Times New Roman" w:eastAsiaTheme="minorEastAsia" w:hAnsi="Times New Roman" w:cs="Times New Roman"/>
          <w:sz w:val="24"/>
          <w:szCs w:val="24"/>
        </w:rPr>
        <w:t>.</w:t>
      </w:r>
    </w:p>
    <w:p w:rsidR="00E70846" w:rsidRPr="00E70846" w:rsidRDefault="00E70846" w:rsidP="00E70846">
      <w:pPr>
        <w:pStyle w:val="HTMLPreformatted"/>
        <w:shd w:val="clear" w:color="auto" w:fill="FFFFFF"/>
        <w:spacing w:after="1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Also, the </w:t>
      </w:r>
      <w:r w:rsidRPr="00E70846">
        <w:rPr>
          <w:rFonts w:ascii="Times New Roman" w:eastAsiaTheme="minorEastAsia" w:hAnsi="Times New Roman" w:cs="Times New Roman"/>
          <w:sz w:val="24"/>
          <w:szCs w:val="24"/>
        </w:rPr>
        <w:t xml:space="preserve">performance analysis </w:t>
      </w:r>
      <w:r>
        <w:rPr>
          <w:rFonts w:ascii="Times New Roman" w:eastAsiaTheme="minorEastAsia" w:hAnsi="Times New Roman" w:cs="Times New Roman"/>
          <w:sz w:val="24"/>
          <w:szCs w:val="24"/>
        </w:rPr>
        <w:t>of l</w:t>
      </w:r>
      <w:r w:rsidRPr="00E70846">
        <w:rPr>
          <w:rFonts w:ascii="Times New Roman" w:eastAsiaTheme="minorEastAsia" w:hAnsi="Times New Roman" w:cs="Times New Roman"/>
          <w:sz w:val="24"/>
          <w:szCs w:val="24"/>
        </w:rPr>
        <w:t xml:space="preserve">ocal </w:t>
      </w:r>
      <w:r>
        <w:rPr>
          <w:rFonts w:ascii="Times New Roman" w:eastAsiaTheme="minorEastAsia" w:hAnsi="Times New Roman" w:cs="Times New Roman"/>
          <w:sz w:val="24"/>
          <w:szCs w:val="24"/>
        </w:rPr>
        <w:t>mutual funds</w:t>
      </w:r>
      <w:r w:rsidRPr="00E70846">
        <w:rPr>
          <w:rFonts w:ascii="Times New Roman" w:eastAsiaTheme="minorEastAsia" w:hAnsi="Times New Roman" w:cs="Times New Roman"/>
          <w:sz w:val="24"/>
          <w:szCs w:val="24"/>
        </w:rPr>
        <w:t xml:space="preserve"> considers assessing </w:t>
      </w:r>
      <w:r>
        <w:rPr>
          <w:rFonts w:ascii="Times New Roman" w:eastAsiaTheme="minorEastAsia" w:hAnsi="Times New Roman" w:cs="Times New Roman"/>
          <w:sz w:val="24"/>
          <w:szCs w:val="24"/>
        </w:rPr>
        <w:t>the</w:t>
      </w:r>
      <w:r w:rsidRPr="00E70846">
        <w:rPr>
          <w:rFonts w:ascii="Times New Roman" w:eastAsiaTheme="minorEastAsia" w:hAnsi="Times New Roman" w:cs="Times New Roman"/>
          <w:sz w:val="24"/>
          <w:szCs w:val="24"/>
        </w:rPr>
        <w:t xml:space="preserve"> indicators provided by the Association of Asset Managers Romania and by patterns of performance evaluation risk-adj</w:t>
      </w:r>
      <w:r>
        <w:rPr>
          <w:rFonts w:ascii="Times New Roman" w:eastAsiaTheme="minorEastAsia" w:hAnsi="Times New Roman" w:cs="Times New Roman"/>
          <w:sz w:val="24"/>
          <w:szCs w:val="24"/>
        </w:rPr>
        <w:t>usted (relative to rates Sharpe, Treynor and Jensen). For investors</w:t>
      </w:r>
      <w:r w:rsidRPr="00E70846">
        <w:rPr>
          <w:rFonts w:ascii="Times New Roman" w:eastAsiaTheme="minorEastAsia" w:hAnsi="Times New Roman" w:cs="Times New Roman"/>
          <w:sz w:val="24"/>
          <w:szCs w:val="24"/>
        </w:rPr>
        <w:t xml:space="preserve">, the variables related to </w:t>
      </w:r>
      <w:r w:rsidRPr="00E70846">
        <w:rPr>
          <w:rFonts w:ascii="Times New Roman" w:eastAsiaTheme="minorEastAsia" w:hAnsi="Times New Roman" w:cs="Times New Roman"/>
          <w:sz w:val="24"/>
          <w:szCs w:val="24"/>
        </w:rPr>
        <w:lastRenderedPageBreak/>
        <w:t>performance and risk funds are the most important criteria for the select</w:t>
      </w:r>
      <w:r w:rsidR="0001735A">
        <w:rPr>
          <w:rFonts w:ascii="Times New Roman" w:eastAsiaTheme="minorEastAsia" w:hAnsi="Times New Roman" w:cs="Times New Roman"/>
          <w:sz w:val="24"/>
          <w:szCs w:val="24"/>
        </w:rPr>
        <w:t>ion of any investment placement</w:t>
      </w:r>
      <w:r w:rsidRPr="00E70846">
        <w:rPr>
          <w:rFonts w:ascii="Times New Roman" w:eastAsiaTheme="minorEastAsia" w:hAnsi="Times New Roman" w:cs="Times New Roman"/>
          <w:sz w:val="24"/>
          <w:szCs w:val="24"/>
        </w:rPr>
        <w:t>.</w:t>
      </w:r>
    </w:p>
    <w:p w:rsidR="00E70846" w:rsidRPr="00E70846" w:rsidRDefault="00E70846" w:rsidP="00E70846">
      <w:pPr>
        <w:pStyle w:val="HTMLPreformatted"/>
        <w:shd w:val="clear" w:color="auto" w:fill="FFFFFF"/>
        <w:spacing w:after="120"/>
        <w:jc w:val="both"/>
        <w:rPr>
          <w:rFonts w:ascii="Times New Roman" w:eastAsiaTheme="minorEastAsia" w:hAnsi="Times New Roman" w:cs="Times New Roman"/>
          <w:sz w:val="24"/>
          <w:szCs w:val="24"/>
        </w:rPr>
      </w:pPr>
      <w:r w:rsidRPr="00E70846">
        <w:rPr>
          <w:rFonts w:ascii="Times New Roman" w:eastAsiaTheme="minorEastAsia" w:hAnsi="Times New Roman" w:cs="Times New Roman"/>
          <w:sz w:val="24"/>
          <w:szCs w:val="24"/>
        </w:rPr>
        <w:t>The data analyzed are reported in monthly range</w:t>
      </w:r>
      <w:r w:rsidR="0001735A">
        <w:rPr>
          <w:rFonts w:ascii="Times New Roman" w:eastAsiaTheme="minorEastAsia" w:hAnsi="Times New Roman" w:cs="Times New Roman"/>
          <w:sz w:val="24"/>
          <w:szCs w:val="24"/>
        </w:rPr>
        <w:t>s</w:t>
      </w:r>
      <w:r w:rsidRPr="00E70846">
        <w:rPr>
          <w:rFonts w:ascii="Times New Roman" w:eastAsiaTheme="minorEastAsia" w:hAnsi="Times New Roman" w:cs="Times New Roman"/>
          <w:sz w:val="24"/>
          <w:szCs w:val="24"/>
        </w:rPr>
        <w:t xml:space="preserve"> of the last 10 years, i</w:t>
      </w:r>
      <w:r w:rsidR="0001735A">
        <w:rPr>
          <w:rFonts w:ascii="Times New Roman" w:eastAsiaTheme="minorEastAsia" w:hAnsi="Times New Roman" w:cs="Times New Roman"/>
          <w:sz w:val="24"/>
          <w:szCs w:val="24"/>
        </w:rPr>
        <w:t>.</w:t>
      </w:r>
      <w:r w:rsidRPr="00E70846">
        <w:rPr>
          <w:rFonts w:ascii="Times New Roman" w:eastAsiaTheme="minorEastAsia" w:hAnsi="Times New Roman" w:cs="Times New Roman"/>
          <w:sz w:val="24"/>
          <w:szCs w:val="24"/>
        </w:rPr>
        <w:t>e</w:t>
      </w:r>
      <w:r w:rsidR="0001735A">
        <w:rPr>
          <w:rFonts w:ascii="Times New Roman" w:eastAsiaTheme="minorEastAsia" w:hAnsi="Times New Roman" w:cs="Times New Roman"/>
          <w:sz w:val="24"/>
          <w:szCs w:val="24"/>
        </w:rPr>
        <w:t>. 2007-2015</w:t>
      </w:r>
      <w:r w:rsidRPr="00E70846">
        <w:rPr>
          <w:rFonts w:ascii="Times New Roman" w:eastAsiaTheme="minorEastAsia" w:hAnsi="Times New Roman" w:cs="Times New Roman"/>
          <w:sz w:val="24"/>
          <w:szCs w:val="24"/>
        </w:rPr>
        <w:t xml:space="preserve">. For issuing relevant comparisons between the evolution rates of return and risk associated with </w:t>
      </w:r>
      <w:r w:rsidR="0001735A">
        <w:rPr>
          <w:rFonts w:ascii="Times New Roman" w:eastAsiaTheme="minorEastAsia" w:hAnsi="Times New Roman" w:cs="Times New Roman"/>
          <w:sz w:val="24"/>
          <w:szCs w:val="24"/>
        </w:rPr>
        <w:t xml:space="preserve">the local </w:t>
      </w:r>
      <w:r w:rsidRPr="00E70846">
        <w:rPr>
          <w:rFonts w:ascii="Times New Roman" w:eastAsiaTheme="minorEastAsia" w:hAnsi="Times New Roman" w:cs="Times New Roman"/>
          <w:sz w:val="24"/>
          <w:szCs w:val="24"/>
        </w:rPr>
        <w:t xml:space="preserve">mutual </w:t>
      </w:r>
      <w:r w:rsidR="0001735A">
        <w:rPr>
          <w:rFonts w:ascii="Times New Roman" w:eastAsiaTheme="minorEastAsia" w:hAnsi="Times New Roman" w:cs="Times New Roman"/>
          <w:sz w:val="24"/>
          <w:szCs w:val="24"/>
        </w:rPr>
        <w:t>funds</w:t>
      </w:r>
      <w:r w:rsidRPr="00E70846">
        <w:rPr>
          <w:rFonts w:ascii="Times New Roman" w:eastAsiaTheme="minorEastAsia" w:hAnsi="Times New Roman" w:cs="Times New Roman"/>
          <w:sz w:val="24"/>
          <w:szCs w:val="24"/>
        </w:rPr>
        <w:t>, we considered the BET index</w:t>
      </w:r>
      <w:r w:rsidR="0001735A">
        <w:rPr>
          <w:rFonts w:ascii="Times New Roman" w:eastAsiaTheme="minorEastAsia" w:hAnsi="Times New Roman" w:cs="Times New Roman"/>
          <w:sz w:val="24"/>
          <w:szCs w:val="24"/>
        </w:rPr>
        <w:t xml:space="preserve"> in</w:t>
      </w:r>
      <w:r w:rsidRPr="00E70846">
        <w:rPr>
          <w:rFonts w:ascii="Times New Roman" w:eastAsiaTheme="minorEastAsia" w:hAnsi="Times New Roman" w:cs="Times New Roman"/>
          <w:sz w:val="24"/>
          <w:szCs w:val="24"/>
        </w:rPr>
        <w:t xml:space="preserve"> assessing</w:t>
      </w:r>
      <w:r w:rsidR="0001735A">
        <w:rPr>
          <w:rFonts w:ascii="Times New Roman" w:eastAsiaTheme="minorEastAsia" w:hAnsi="Times New Roman" w:cs="Times New Roman"/>
          <w:sz w:val="24"/>
          <w:szCs w:val="24"/>
        </w:rPr>
        <w:t xml:space="preserve"> the</w:t>
      </w:r>
      <w:r w:rsidRPr="00E70846">
        <w:rPr>
          <w:rFonts w:ascii="Times New Roman" w:eastAsiaTheme="minorEastAsia" w:hAnsi="Times New Roman" w:cs="Times New Roman"/>
          <w:sz w:val="24"/>
          <w:szCs w:val="24"/>
        </w:rPr>
        <w:t xml:space="preserve"> market volatility, monthly average interest rate of government bonds as a measure of the low</w:t>
      </w:r>
      <w:r w:rsidR="0001735A">
        <w:rPr>
          <w:rFonts w:ascii="Times New Roman" w:eastAsiaTheme="minorEastAsia" w:hAnsi="Times New Roman" w:cs="Times New Roman"/>
          <w:sz w:val="24"/>
          <w:szCs w:val="24"/>
        </w:rPr>
        <w:t>est</w:t>
      </w:r>
      <w:r w:rsidRPr="00E70846">
        <w:rPr>
          <w:rFonts w:ascii="Times New Roman" w:eastAsiaTheme="minorEastAsia" w:hAnsi="Times New Roman" w:cs="Times New Roman"/>
          <w:sz w:val="24"/>
          <w:szCs w:val="24"/>
        </w:rPr>
        <w:t xml:space="preserve"> risk</w:t>
      </w:r>
      <w:r w:rsidR="0001735A">
        <w:rPr>
          <w:rFonts w:ascii="Times New Roman" w:eastAsiaTheme="minorEastAsia" w:hAnsi="Times New Roman" w:cs="Times New Roman"/>
          <w:sz w:val="24"/>
          <w:szCs w:val="24"/>
        </w:rPr>
        <w:t xml:space="preserve"> rate</w:t>
      </w:r>
      <w:r w:rsidRPr="00E70846">
        <w:rPr>
          <w:rFonts w:ascii="Times New Roman" w:eastAsiaTheme="minorEastAsia" w:hAnsi="Times New Roman" w:cs="Times New Roman"/>
          <w:sz w:val="24"/>
          <w:szCs w:val="24"/>
        </w:rPr>
        <w:t xml:space="preserve"> and </w:t>
      </w:r>
      <w:r w:rsidR="0001735A">
        <w:rPr>
          <w:rFonts w:ascii="Times New Roman" w:eastAsiaTheme="minorEastAsia" w:hAnsi="Times New Roman" w:cs="Times New Roman"/>
          <w:sz w:val="24"/>
          <w:szCs w:val="24"/>
        </w:rPr>
        <w:t xml:space="preserve">the </w:t>
      </w:r>
      <w:r w:rsidRPr="00E70846">
        <w:rPr>
          <w:rFonts w:ascii="Times New Roman" w:eastAsiaTheme="minorEastAsia" w:hAnsi="Times New Roman" w:cs="Times New Roman"/>
          <w:sz w:val="24"/>
          <w:szCs w:val="24"/>
        </w:rPr>
        <w:t>inflation</w:t>
      </w:r>
      <w:r w:rsidR="0001735A">
        <w:rPr>
          <w:rFonts w:ascii="Times New Roman" w:eastAsiaTheme="minorEastAsia" w:hAnsi="Times New Roman" w:cs="Times New Roman"/>
          <w:sz w:val="24"/>
          <w:szCs w:val="24"/>
        </w:rPr>
        <w:t xml:space="preserve"> rate</w:t>
      </w:r>
      <w:r w:rsidRPr="00E70846">
        <w:rPr>
          <w:rFonts w:ascii="Times New Roman" w:eastAsiaTheme="minorEastAsia" w:hAnsi="Times New Roman" w:cs="Times New Roman"/>
          <w:sz w:val="24"/>
          <w:szCs w:val="24"/>
        </w:rPr>
        <w:t xml:space="preserve"> to assess changes in the value of the purchasing power of money. Data were retrieved and analyzed </w:t>
      </w:r>
      <w:r>
        <w:rPr>
          <w:rFonts w:ascii="Times New Roman" w:eastAsiaTheme="minorEastAsia" w:hAnsi="Times New Roman" w:cs="Times New Roman"/>
          <w:sz w:val="24"/>
          <w:szCs w:val="24"/>
        </w:rPr>
        <w:t xml:space="preserve">based on </w:t>
      </w:r>
      <w:r w:rsidRPr="008F00C9">
        <w:rPr>
          <w:rFonts w:ascii="Times New Roman" w:hAnsi="Times New Roman" w:cs="Times New Roman"/>
          <w:spacing w:val="-2"/>
          <w:sz w:val="24"/>
          <w:szCs w:val="24"/>
        </w:rPr>
        <w:t xml:space="preserve">AAF, CNVM, ASF, BNR </w:t>
      </w:r>
      <w:r>
        <w:rPr>
          <w:rFonts w:ascii="Times New Roman" w:hAnsi="Times New Roman" w:cs="Times New Roman"/>
          <w:spacing w:val="-2"/>
          <w:sz w:val="24"/>
          <w:szCs w:val="24"/>
        </w:rPr>
        <w:t>and</w:t>
      </w:r>
      <w:r w:rsidRPr="008F00C9">
        <w:rPr>
          <w:rFonts w:ascii="Times New Roman" w:hAnsi="Times New Roman" w:cs="Times New Roman"/>
          <w:spacing w:val="-2"/>
          <w:sz w:val="24"/>
          <w:szCs w:val="24"/>
        </w:rPr>
        <w:t xml:space="preserve"> INSSE</w:t>
      </w:r>
      <w:r>
        <w:rPr>
          <w:rFonts w:ascii="Times New Roman" w:hAnsi="Times New Roman" w:cs="Times New Roman"/>
          <w:spacing w:val="-2"/>
          <w:sz w:val="24"/>
          <w:szCs w:val="24"/>
        </w:rPr>
        <w:t xml:space="preserve"> </w:t>
      </w:r>
      <w:r w:rsidRPr="00E70846">
        <w:rPr>
          <w:rFonts w:ascii="Times New Roman" w:eastAsiaTheme="minorEastAsia" w:hAnsi="Times New Roman" w:cs="Times New Roman"/>
          <w:sz w:val="24"/>
          <w:szCs w:val="24"/>
        </w:rPr>
        <w:t>records</w:t>
      </w:r>
      <w:r w:rsidRPr="008F00C9">
        <w:rPr>
          <w:rFonts w:ascii="Times New Roman" w:hAnsi="Times New Roman" w:cs="Times New Roman"/>
          <w:spacing w:val="-2"/>
          <w:sz w:val="24"/>
          <w:szCs w:val="24"/>
        </w:rPr>
        <w:t>.</w:t>
      </w:r>
    </w:p>
    <w:p w:rsidR="0001735A" w:rsidRPr="0001735A" w:rsidRDefault="0001735A" w:rsidP="0001735A">
      <w:pPr>
        <w:pStyle w:val="HTMLPreformatted"/>
        <w:shd w:val="clear" w:color="auto" w:fill="FFFFFF"/>
        <w:spacing w:after="1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While</w:t>
      </w:r>
      <w:r w:rsidRPr="0001735A">
        <w:rPr>
          <w:rFonts w:ascii="Times New Roman" w:eastAsiaTheme="minorEastAsia" w:hAnsi="Times New Roman" w:cs="Times New Roman"/>
          <w:sz w:val="24"/>
          <w:szCs w:val="24"/>
        </w:rPr>
        <w:t xml:space="preserve"> the study focuses on the period between 2007-2015, we considered </w:t>
      </w:r>
      <w:r>
        <w:rPr>
          <w:rFonts w:ascii="Times New Roman" w:eastAsiaTheme="minorEastAsia" w:hAnsi="Times New Roman" w:cs="Times New Roman"/>
          <w:sz w:val="24"/>
          <w:szCs w:val="24"/>
        </w:rPr>
        <w:t xml:space="preserve">opportune to </w:t>
      </w:r>
      <w:r w:rsidRPr="0001735A">
        <w:rPr>
          <w:rFonts w:ascii="Times New Roman" w:eastAsiaTheme="minorEastAsia" w:hAnsi="Times New Roman" w:cs="Times New Roman"/>
          <w:sz w:val="24"/>
          <w:szCs w:val="24"/>
        </w:rPr>
        <w:t xml:space="preserve">breakdown </w:t>
      </w:r>
      <w:r>
        <w:rPr>
          <w:rFonts w:ascii="Times New Roman" w:eastAsiaTheme="minorEastAsia" w:hAnsi="Times New Roman" w:cs="Times New Roman"/>
          <w:sz w:val="24"/>
          <w:szCs w:val="24"/>
        </w:rPr>
        <w:t xml:space="preserve">the </w:t>
      </w:r>
      <w:r w:rsidRPr="0001735A">
        <w:rPr>
          <w:rFonts w:ascii="Times New Roman" w:eastAsiaTheme="minorEastAsia" w:hAnsi="Times New Roman" w:cs="Times New Roman"/>
          <w:sz w:val="24"/>
          <w:szCs w:val="24"/>
        </w:rPr>
        <w:t xml:space="preserve">performance analysis </w:t>
      </w:r>
      <w:r>
        <w:rPr>
          <w:rFonts w:ascii="Times New Roman" w:eastAsiaTheme="minorEastAsia" w:hAnsi="Times New Roman" w:cs="Times New Roman"/>
          <w:sz w:val="24"/>
          <w:szCs w:val="24"/>
        </w:rPr>
        <w:t>over 3 sub-periods</w:t>
      </w:r>
      <w:r w:rsidRPr="0001735A">
        <w:rPr>
          <w:rFonts w:ascii="Times New Roman" w:eastAsiaTheme="minorEastAsia" w:hAnsi="Times New Roman" w:cs="Times New Roman"/>
          <w:sz w:val="24"/>
          <w:szCs w:val="24"/>
        </w:rPr>
        <w:t>: 2007-2009 , 2010-2012 and 2013-2015</w:t>
      </w:r>
      <w:r>
        <w:rPr>
          <w:rFonts w:ascii="Times New Roman" w:eastAsiaTheme="minorEastAsia" w:hAnsi="Times New Roman" w:cs="Times New Roman"/>
          <w:sz w:val="24"/>
          <w:szCs w:val="24"/>
        </w:rPr>
        <w:t xml:space="preserve"> -</w:t>
      </w:r>
      <w:r w:rsidRPr="0001735A">
        <w:rPr>
          <w:rFonts w:ascii="Times New Roman" w:eastAsiaTheme="minorEastAsia" w:hAnsi="Times New Roman" w:cs="Times New Roman"/>
          <w:sz w:val="24"/>
          <w:szCs w:val="24"/>
        </w:rPr>
        <w:t xml:space="preserve"> intervals corresponding to the onset of the global capital market crisis</w:t>
      </w:r>
      <w:r>
        <w:rPr>
          <w:rFonts w:ascii="Times New Roman" w:eastAsiaTheme="minorEastAsia" w:hAnsi="Times New Roman" w:cs="Times New Roman"/>
          <w:sz w:val="24"/>
          <w:szCs w:val="24"/>
        </w:rPr>
        <w:t xml:space="preserve">, </w:t>
      </w:r>
      <w:r w:rsidRPr="0001735A">
        <w:rPr>
          <w:rFonts w:ascii="Times New Roman" w:eastAsiaTheme="minorEastAsia" w:hAnsi="Times New Roman" w:cs="Times New Roman"/>
          <w:sz w:val="24"/>
          <w:szCs w:val="24"/>
        </w:rPr>
        <w:t>financial crisis - the debt crisis</w:t>
      </w:r>
      <w:r>
        <w:rPr>
          <w:rFonts w:ascii="Times New Roman" w:eastAsiaTheme="minorEastAsia" w:hAnsi="Times New Roman" w:cs="Times New Roman"/>
          <w:sz w:val="24"/>
          <w:szCs w:val="24"/>
        </w:rPr>
        <w:t xml:space="preserve"> period</w:t>
      </w:r>
      <w:r w:rsidRPr="0001735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as well as the revival period</w:t>
      </w:r>
      <w:r w:rsidRPr="0001735A">
        <w:rPr>
          <w:rFonts w:ascii="Times New Roman" w:eastAsiaTheme="minorEastAsia" w:hAnsi="Times New Roman" w:cs="Times New Roman"/>
          <w:sz w:val="24"/>
          <w:szCs w:val="24"/>
        </w:rPr>
        <w:t xml:space="preserve">. Thus, </w:t>
      </w:r>
      <w:r>
        <w:rPr>
          <w:rFonts w:ascii="Times New Roman" w:eastAsiaTheme="minorEastAsia" w:hAnsi="Times New Roman" w:cs="Times New Roman"/>
          <w:sz w:val="24"/>
          <w:szCs w:val="24"/>
        </w:rPr>
        <w:t xml:space="preserve">the </w:t>
      </w:r>
      <w:r w:rsidRPr="0001735A">
        <w:rPr>
          <w:rFonts w:ascii="Times New Roman" w:eastAsiaTheme="minorEastAsia" w:hAnsi="Times New Roman" w:cs="Times New Roman"/>
          <w:sz w:val="24"/>
          <w:szCs w:val="24"/>
        </w:rPr>
        <w:t xml:space="preserve">performance analysis is thorough observation into returns, volatilities and correlations between times of instability (2007-2013) and </w:t>
      </w:r>
      <w:r>
        <w:rPr>
          <w:rFonts w:ascii="Times New Roman" w:eastAsiaTheme="minorEastAsia" w:hAnsi="Times New Roman" w:cs="Times New Roman"/>
          <w:sz w:val="24"/>
          <w:szCs w:val="24"/>
        </w:rPr>
        <w:t>the period of economic recovery</w:t>
      </w:r>
      <w:r w:rsidRPr="0001735A">
        <w:rPr>
          <w:rFonts w:ascii="Times New Roman" w:eastAsiaTheme="minorEastAsia" w:hAnsi="Times New Roman" w:cs="Times New Roman"/>
          <w:sz w:val="24"/>
          <w:szCs w:val="24"/>
        </w:rPr>
        <w:t>, aiming to identify possible interdependencies between profitability in</w:t>
      </w:r>
      <w:r>
        <w:rPr>
          <w:rFonts w:ascii="Times New Roman" w:eastAsiaTheme="minorEastAsia" w:hAnsi="Times New Roman" w:cs="Times New Roman"/>
          <w:sz w:val="24"/>
          <w:szCs w:val="24"/>
        </w:rPr>
        <w:t>dicators calculated and economy</w:t>
      </w:r>
      <w:r w:rsidRPr="0001735A">
        <w:rPr>
          <w:rFonts w:ascii="Times New Roman" w:eastAsiaTheme="minorEastAsia" w:hAnsi="Times New Roman" w:cs="Times New Roman"/>
          <w:sz w:val="24"/>
          <w:szCs w:val="24"/>
        </w:rPr>
        <w:t>.</w:t>
      </w:r>
    </w:p>
    <w:p w:rsidR="0001735A" w:rsidRDefault="0001735A" w:rsidP="00DB67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Derived records expose the following evidences for the risk-performance analysis of FDA funds, as presented in table 3.3.</w:t>
      </w:r>
    </w:p>
    <w:p w:rsidR="0001735A" w:rsidRPr="008F00C9" w:rsidRDefault="0001735A" w:rsidP="00DB67E6">
      <w:pPr>
        <w:spacing w:after="0" w:line="240" w:lineRule="auto"/>
        <w:jc w:val="both"/>
        <w:rPr>
          <w:rFonts w:ascii="Times New Roman" w:hAnsi="Times New Roman" w:cs="Times New Roman"/>
          <w:sz w:val="24"/>
          <w:szCs w:val="24"/>
        </w:rPr>
      </w:pPr>
    </w:p>
    <w:p w:rsidR="0019180E" w:rsidRPr="008F00C9" w:rsidRDefault="0019180E" w:rsidP="0019180E">
      <w:pPr>
        <w:pStyle w:val="Caption"/>
        <w:spacing w:before="0" w:beforeAutospacing="0" w:after="0" w:afterAutospacing="0"/>
        <w:rPr>
          <w:b/>
        </w:rPr>
      </w:pPr>
      <w:bookmarkStart w:id="21" w:name="_Toc449385142"/>
      <w:r w:rsidRPr="008F00C9">
        <w:rPr>
          <w:b/>
        </w:rPr>
        <w:t xml:space="preserve">Tabel 3. </w:t>
      </w:r>
      <w:r w:rsidR="004B4616" w:rsidRPr="008F00C9">
        <w:rPr>
          <w:b/>
        </w:rPr>
        <w:fldChar w:fldCharType="begin"/>
      </w:r>
      <w:r w:rsidRPr="008F00C9">
        <w:rPr>
          <w:b/>
        </w:rPr>
        <w:instrText xml:space="preserve"> SEQ Tabel_3. \* ARABIC </w:instrText>
      </w:r>
      <w:r w:rsidR="004B4616" w:rsidRPr="008F00C9">
        <w:rPr>
          <w:b/>
        </w:rPr>
        <w:fldChar w:fldCharType="separate"/>
      </w:r>
      <w:r w:rsidR="00695698" w:rsidRPr="008F00C9">
        <w:rPr>
          <w:b/>
          <w:noProof/>
        </w:rPr>
        <w:t>3</w:t>
      </w:r>
      <w:r w:rsidR="004B4616" w:rsidRPr="008F00C9">
        <w:rPr>
          <w:b/>
        </w:rPr>
        <w:fldChar w:fldCharType="end"/>
      </w:r>
      <w:r w:rsidRPr="008F00C9">
        <w:rPr>
          <w:b/>
        </w:rPr>
        <w:t xml:space="preserve"> </w:t>
      </w:r>
      <w:bookmarkEnd w:id="21"/>
      <w:r w:rsidR="0001735A">
        <w:rPr>
          <w:b/>
        </w:rPr>
        <w:t>Best 3 performances of FDA funds in Romania 2007-2015</w:t>
      </w:r>
    </w:p>
    <w:tbl>
      <w:tblPr>
        <w:tblStyle w:val="TableGrid"/>
        <w:tblW w:w="0" w:type="auto"/>
        <w:tblLook w:val="04A0"/>
      </w:tblPr>
      <w:tblGrid>
        <w:gridCol w:w="2310"/>
        <w:gridCol w:w="2311"/>
        <w:gridCol w:w="2311"/>
        <w:gridCol w:w="2311"/>
      </w:tblGrid>
      <w:tr w:rsidR="0019180E" w:rsidRPr="008F00C9" w:rsidTr="0019180E">
        <w:tc>
          <w:tcPr>
            <w:tcW w:w="2310" w:type="dxa"/>
          </w:tcPr>
          <w:p w:rsidR="0019180E" w:rsidRPr="008F00C9" w:rsidRDefault="0001735A" w:rsidP="0019180E">
            <w:pPr>
              <w:jc w:val="both"/>
              <w:rPr>
                <w:spacing w:val="-6"/>
                <w:sz w:val="24"/>
                <w:szCs w:val="24"/>
              </w:rPr>
            </w:pPr>
            <w:r>
              <w:rPr>
                <w:spacing w:val="-6"/>
                <w:szCs w:val="24"/>
              </w:rPr>
              <w:t>Time period</w:t>
            </w:r>
          </w:p>
        </w:tc>
        <w:tc>
          <w:tcPr>
            <w:tcW w:w="2311" w:type="dxa"/>
          </w:tcPr>
          <w:p w:rsidR="0019180E" w:rsidRPr="008F00C9" w:rsidRDefault="0019180E" w:rsidP="0001735A">
            <w:pPr>
              <w:jc w:val="both"/>
              <w:rPr>
                <w:i/>
                <w:sz w:val="24"/>
                <w:szCs w:val="24"/>
              </w:rPr>
            </w:pPr>
            <w:r w:rsidRPr="008F00C9">
              <w:rPr>
                <w:i/>
                <w:sz w:val="24"/>
                <w:szCs w:val="24"/>
              </w:rPr>
              <w:t>Sharpe</w:t>
            </w:r>
            <w:r w:rsidR="0001735A">
              <w:rPr>
                <w:i/>
                <w:sz w:val="24"/>
                <w:szCs w:val="24"/>
              </w:rPr>
              <w:t xml:space="preserve"> rate</w:t>
            </w:r>
          </w:p>
        </w:tc>
        <w:tc>
          <w:tcPr>
            <w:tcW w:w="2311" w:type="dxa"/>
          </w:tcPr>
          <w:p w:rsidR="0019180E" w:rsidRPr="008F00C9" w:rsidRDefault="0019180E" w:rsidP="0019180E">
            <w:pPr>
              <w:jc w:val="both"/>
              <w:rPr>
                <w:i/>
                <w:sz w:val="24"/>
                <w:szCs w:val="24"/>
              </w:rPr>
            </w:pPr>
            <w:r w:rsidRPr="008F00C9">
              <w:rPr>
                <w:i/>
                <w:sz w:val="24"/>
                <w:szCs w:val="24"/>
              </w:rPr>
              <w:t>Treynor</w:t>
            </w:r>
            <w:r w:rsidR="0001735A">
              <w:rPr>
                <w:i/>
                <w:sz w:val="24"/>
                <w:szCs w:val="24"/>
              </w:rPr>
              <w:t xml:space="preserve"> rate</w:t>
            </w:r>
          </w:p>
        </w:tc>
        <w:tc>
          <w:tcPr>
            <w:tcW w:w="2311" w:type="dxa"/>
          </w:tcPr>
          <w:p w:rsidR="0019180E" w:rsidRPr="008F00C9" w:rsidRDefault="0019180E" w:rsidP="0019180E">
            <w:pPr>
              <w:jc w:val="both"/>
              <w:rPr>
                <w:i/>
                <w:sz w:val="24"/>
                <w:szCs w:val="24"/>
              </w:rPr>
            </w:pPr>
            <w:r w:rsidRPr="008F00C9">
              <w:rPr>
                <w:i/>
                <w:sz w:val="24"/>
                <w:szCs w:val="24"/>
              </w:rPr>
              <w:t>Jensen</w:t>
            </w:r>
            <w:r w:rsidR="0001735A">
              <w:rPr>
                <w:i/>
                <w:sz w:val="24"/>
                <w:szCs w:val="24"/>
              </w:rPr>
              <w:t xml:space="preserve"> rate</w:t>
            </w:r>
          </w:p>
        </w:tc>
      </w:tr>
      <w:tr w:rsidR="0019180E" w:rsidRPr="008F00C9" w:rsidTr="0019180E">
        <w:tc>
          <w:tcPr>
            <w:tcW w:w="2310" w:type="dxa"/>
          </w:tcPr>
          <w:p w:rsidR="0019180E" w:rsidRPr="008F00C9" w:rsidRDefault="0019180E" w:rsidP="0019180E">
            <w:pPr>
              <w:jc w:val="both"/>
              <w:rPr>
                <w:sz w:val="24"/>
                <w:szCs w:val="24"/>
              </w:rPr>
            </w:pPr>
            <w:r w:rsidRPr="008F00C9">
              <w:rPr>
                <w:sz w:val="24"/>
                <w:szCs w:val="24"/>
              </w:rPr>
              <w:t>2007-2009</w:t>
            </w:r>
          </w:p>
        </w:tc>
        <w:tc>
          <w:tcPr>
            <w:tcW w:w="2311" w:type="dxa"/>
          </w:tcPr>
          <w:p w:rsidR="0019180E" w:rsidRPr="008F00C9" w:rsidRDefault="0019180E" w:rsidP="0019180E">
            <w:pPr>
              <w:jc w:val="both"/>
              <w:rPr>
                <w:sz w:val="24"/>
                <w:szCs w:val="24"/>
              </w:rPr>
            </w:pPr>
            <w:r w:rsidRPr="008F00C9">
              <w:rPr>
                <w:sz w:val="24"/>
                <w:szCs w:val="24"/>
              </w:rPr>
              <w:t>Active Dinamic</w:t>
            </w:r>
          </w:p>
          <w:p w:rsidR="0019180E" w:rsidRPr="008F00C9" w:rsidRDefault="0019180E" w:rsidP="0019180E">
            <w:pPr>
              <w:jc w:val="both"/>
              <w:rPr>
                <w:sz w:val="24"/>
                <w:szCs w:val="24"/>
              </w:rPr>
            </w:pPr>
            <w:r w:rsidRPr="008F00C9">
              <w:rPr>
                <w:sz w:val="24"/>
                <w:szCs w:val="24"/>
              </w:rPr>
              <w:t>Raiffeisen Prosper</w:t>
            </w:r>
          </w:p>
          <w:p w:rsidR="0019180E" w:rsidRPr="008F00C9" w:rsidRDefault="0019180E" w:rsidP="0019180E">
            <w:pPr>
              <w:jc w:val="both"/>
              <w:rPr>
                <w:sz w:val="24"/>
                <w:szCs w:val="24"/>
              </w:rPr>
            </w:pPr>
            <w:r w:rsidRPr="008F00C9">
              <w:rPr>
                <w:sz w:val="24"/>
                <w:szCs w:val="24"/>
              </w:rPr>
              <w:t>BT Maxim</w:t>
            </w:r>
          </w:p>
        </w:tc>
        <w:tc>
          <w:tcPr>
            <w:tcW w:w="2311" w:type="dxa"/>
          </w:tcPr>
          <w:p w:rsidR="0019180E" w:rsidRPr="008F00C9" w:rsidRDefault="0019180E" w:rsidP="0019180E">
            <w:pPr>
              <w:jc w:val="both"/>
              <w:rPr>
                <w:sz w:val="24"/>
                <w:szCs w:val="24"/>
              </w:rPr>
            </w:pPr>
            <w:r w:rsidRPr="008F00C9">
              <w:rPr>
                <w:sz w:val="24"/>
                <w:szCs w:val="24"/>
              </w:rPr>
              <w:t>Active Dinamic</w:t>
            </w:r>
          </w:p>
          <w:p w:rsidR="0019180E" w:rsidRPr="008F00C9" w:rsidRDefault="0019180E" w:rsidP="0019180E">
            <w:pPr>
              <w:jc w:val="both"/>
              <w:rPr>
                <w:sz w:val="24"/>
                <w:szCs w:val="24"/>
              </w:rPr>
            </w:pPr>
            <w:r w:rsidRPr="008F00C9">
              <w:rPr>
                <w:sz w:val="24"/>
                <w:szCs w:val="24"/>
              </w:rPr>
              <w:t>Raiffeisen Prosper</w:t>
            </w:r>
          </w:p>
          <w:p w:rsidR="0019180E" w:rsidRPr="008F00C9" w:rsidRDefault="0019180E" w:rsidP="0019180E">
            <w:pPr>
              <w:jc w:val="both"/>
              <w:rPr>
                <w:sz w:val="24"/>
                <w:szCs w:val="24"/>
              </w:rPr>
            </w:pPr>
            <w:r w:rsidRPr="008F00C9">
              <w:rPr>
                <w:sz w:val="24"/>
                <w:szCs w:val="24"/>
              </w:rPr>
              <w:t>BT Maxim</w:t>
            </w:r>
          </w:p>
        </w:tc>
        <w:tc>
          <w:tcPr>
            <w:tcW w:w="2311" w:type="dxa"/>
          </w:tcPr>
          <w:p w:rsidR="0019180E" w:rsidRPr="008F00C9" w:rsidRDefault="0019180E" w:rsidP="0019180E">
            <w:pPr>
              <w:jc w:val="both"/>
              <w:rPr>
                <w:sz w:val="24"/>
                <w:szCs w:val="24"/>
              </w:rPr>
            </w:pPr>
            <w:r w:rsidRPr="008F00C9">
              <w:rPr>
                <w:sz w:val="24"/>
                <w:szCs w:val="24"/>
              </w:rPr>
              <w:t>Active Dinamic</w:t>
            </w:r>
          </w:p>
          <w:p w:rsidR="0019180E" w:rsidRPr="008F00C9" w:rsidRDefault="0019180E" w:rsidP="0019180E">
            <w:pPr>
              <w:jc w:val="both"/>
              <w:rPr>
                <w:sz w:val="24"/>
                <w:szCs w:val="24"/>
              </w:rPr>
            </w:pPr>
            <w:r w:rsidRPr="008F00C9">
              <w:rPr>
                <w:sz w:val="24"/>
                <w:szCs w:val="24"/>
              </w:rPr>
              <w:t>Raiffeisen Prosper</w:t>
            </w:r>
          </w:p>
          <w:p w:rsidR="0019180E" w:rsidRPr="008F00C9" w:rsidRDefault="0019180E" w:rsidP="0019180E">
            <w:pPr>
              <w:jc w:val="both"/>
              <w:rPr>
                <w:sz w:val="24"/>
                <w:szCs w:val="24"/>
              </w:rPr>
            </w:pPr>
            <w:r w:rsidRPr="008F00C9">
              <w:rPr>
                <w:sz w:val="24"/>
                <w:szCs w:val="24"/>
              </w:rPr>
              <w:t>Certinvest Maximus</w:t>
            </w:r>
          </w:p>
        </w:tc>
      </w:tr>
      <w:tr w:rsidR="0019180E" w:rsidRPr="008F00C9" w:rsidTr="0019180E">
        <w:tc>
          <w:tcPr>
            <w:tcW w:w="2310" w:type="dxa"/>
          </w:tcPr>
          <w:p w:rsidR="0019180E" w:rsidRPr="008F00C9" w:rsidRDefault="0019180E" w:rsidP="0019180E">
            <w:pPr>
              <w:jc w:val="both"/>
              <w:rPr>
                <w:sz w:val="24"/>
                <w:szCs w:val="24"/>
              </w:rPr>
            </w:pPr>
            <w:r w:rsidRPr="008F00C9">
              <w:rPr>
                <w:sz w:val="24"/>
                <w:szCs w:val="24"/>
              </w:rPr>
              <w:t>2010-2012</w:t>
            </w:r>
          </w:p>
        </w:tc>
        <w:tc>
          <w:tcPr>
            <w:tcW w:w="2311" w:type="dxa"/>
          </w:tcPr>
          <w:p w:rsidR="0019180E" w:rsidRPr="008F00C9" w:rsidRDefault="0019180E" w:rsidP="0019180E">
            <w:pPr>
              <w:jc w:val="both"/>
              <w:rPr>
                <w:sz w:val="24"/>
                <w:szCs w:val="24"/>
              </w:rPr>
            </w:pPr>
            <w:r w:rsidRPr="008F00C9">
              <w:rPr>
                <w:sz w:val="24"/>
                <w:szCs w:val="24"/>
              </w:rPr>
              <w:t>ERSTE Equity</w:t>
            </w:r>
          </w:p>
          <w:p w:rsidR="0019180E" w:rsidRPr="008F00C9" w:rsidRDefault="0019180E" w:rsidP="0019180E">
            <w:pPr>
              <w:jc w:val="both"/>
              <w:rPr>
                <w:sz w:val="24"/>
                <w:szCs w:val="24"/>
              </w:rPr>
            </w:pPr>
            <w:r w:rsidRPr="008F00C9">
              <w:rPr>
                <w:sz w:val="24"/>
                <w:szCs w:val="24"/>
              </w:rPr>
              <w:t>OTP Avansis</w:t>
            </w:r>
          </w:p>
          <w:p w:rsidR="0019180E" w:rsidRPr="008F00C9" w:rsidRDefault="0019180E" w:rsidP="0019180E">
            <w:pPr>
              <w:jc w:val="both"/>
              <w:rPr>
                <w:sz w:val="24"/>
                <w:szCs w:val="24"/>
              </w:rPr>
            </w:pPr>
            <w:r w:rsidRPr="008F00C9">
              <w:rPr>
                <w:sz w:val="24"/>
                <w:szCs w:val="24"/>
              </w:rPr>
              <w:t>Certinvest Maximus</w:t>
            </w:r>
          </w:p>
        </w:tc>
        <w:tc>
          <w:tcPr>
            <w:tcW w:w="2311" w:type="dxa"/>
          </w:tcPr>
          <w:p w:rsidR="0019180E" w:rsidRPr="008F00C9" w:rsidRDefault="0019180E" w:rsidP="0019180E">
            <w:pPr>
              <w:jc w:val="both"/>
              <w:rPr>
                <w:sz w:val="24"/>
                <w:szCs w:val="24"/>
              </w:rPr>
            </w:pPr>
            <w:r w:rsidRPr="008F00C9">
              <w:rPr>
                <w:sz w:val="24"/>
                <w:szCs w:val="24"/>
              </w:rPr>
              <w:t>ERSTE Equity</w:t>
            </w:r>
          </w:p>
          <w:p w:rsidR="0019180E" w:rsidRPr="008F00C9" w:rsidRDefault="0019180E" w:rsidP="0019180E">
            <w:pPr>
              <w:jc w:val="both"/>
              <w:rPr>
                <w:sz w:val="24"/>
                <w:szCs w:val="24"/>
              </w:rPr>
            </w:pPr>
            <w:r w:rsidRPr="008F00C9">
              <w:rPr>
                <w:sz w:val="24"/>
                <w:szCs w:val="24"/>
              </w:rPr>
              <w:t>OTP Avansis</w:t>
            </w:r>
          </w:p>
          <w:p w:rsidR="0019180E" w:rsidRPr="008F00C9" w:rsidRDefault="0019180E" w:rsidP="0019180E">
            <w:pPr>
              <w:jc w:val="both"/>
              <w:rPr>
                <w:sz w:val="24"/>
                <w:szCs w:val="24"/>
              </w:rPr>
            </w:pPr>
            <w:r w:rsidRPr="008F00C9">
              <w:rPr>
                <w:sz w:val="24"/>
                <w:szCs w:val="24"/>
              </w:rPr>
              <w:t>Certinvest Maximus</w:t>
            </w:r>
          </w:p>
        </w:tc>
        <w:tc>
          <w:tcPr>
            <w:tcW w:w="2311" w:type="dxa"/>
          </w:tcPr>
          <w:p w:rsidR="0019180E" w:rsidRPr="008F00C9" w:rsidRDefault="0019180E" w:rsidP="0019180E">
            <w:pPr>
              <w:jc w:val="both"/>
              <w:rPr>
                <w:sz w:val="24"/>
                <w:szCs w:val="24"/>
              </w:rPr>
            </w:pPr>
            <w:r w:rsidRPr="008F00C9">
              <w:rPr>
                <w:sz w:val="24"/>
                <w:szCs w:val="24"/>
              </w:rPr>
              <w:t>ERSTE Equity</w:t>
            </w:r>
          </w:p>
          <w:p w:rsidR="0019180E" w:rsidRPr="008F00C9" w:rsidRDefault="0019180E" w:rsidP="0019180E">
            <w:pPr>
              <w:jc w:val="both"/>
              <w:rPr>
                <w:sz w:val="24"/>
                <w:szCs w:val="24"/>
              </w:rPr>
            </w:pPr>
            <w:r w:rsidRPr="008F00C9">
              <w:rPr>
                <w:sz w:val="24"/>
                <w:szCs w:val="24"/>
              </w:rPr>
              <w:t>OTP Avansis</w:t>
            </w:r>
          </w:p>
          <w:p w:rsidR="0019180E" w:rsidRPr="008F00C9" w:rsidRDefault="0019180E" w:rsidP="0019180E">
            <w:pPr>
              <w:jc w:val="both"/>
              <w:rPr>
                <w:sz w:val="24"/>
                <w:szCs w:val="24"/>
              </w:rPr>
            </w:pPr>
            <w:r w:rsidRPr="008F00C9">
              <w:rPr>
                <w:sz w:val="24"/>
                <w:szCs w:val="24"/>
              </w:rPr>
              <w:t>Raiffeisen Prosper</w:t>
            </w:r>
          </w:p>
        </w:tc>
      </w:tr>
      <w:tr w:rsidR="0019180E" w:rsidRPr="008F00C9" w:rsidTr="0019180E">
        <w:tc>
          <w:tcPr>
            <w:tcW w:w="2310" w:type="dxa"/>
          </w:tcPr>
          <w:p w:rsidR="0019180E" w:rsidRPr="008F00C9" w:rsidRDefault="0019180E" w:rsidP="0019180E">
            <w:pPr>
              <w:jc w:val="both"/>
              <w:rPr>
                <w:sz w:val="24"/>
                <w:szCs w:val="24"/>
              </w:rPr>
            </w:pPr>
            <w:r w:rsidRPr="008F00C9">
              <w:rPr>
                <w:sz w:val="24"/>
                <w:szCs w:val="24"/>
              </w:rPr>
              <w:t>2013-2015</w:t>
            </w:r>
          </w:p>
        </w:tc>
        <w:tc>
          <w:tcPr>
            <w:tcW w:w="2311" w:type="dxa"/>
          </w:tcPr>
          <w:p w:rsidR="0019180E" w:rsidRPr="008F00C9" w:rsidRDefault="0019180E" w:rsidP="0019180E">
            <w:pPr>
              <w:jc w:val="both"/>
              <w:rPr>
                <w:sz w:val="24"/>
                <w:szCs w:val="24"/>
              </w:rPr>
            </w:pPr>
            <w:r w:rsidRPr="008F00C9">
              <w:rPr>
                <w:sz w:val="24"/>
                <w:szCs w:val="24"/>
              </w:rPr>
              <w:t>ERSTE Equity</w:t>
            </w:r>
          </w:p>
          <w:p w:rsidR="0019180E" w:rsidRPr="008F00C9" w:rsidRDefault="0019180E" w:rsidP="0019180E">
            <w:pPr>
              <w:jc w:val="both"/>
              <w:rPr>
                <w:sz w:val="24"/>
                <w:szCs w:val="24"/>
              </w:rPr>
            </w:pPr>
            <w:r w:rsidRPr="008F00C9">
              <w:rPr>
                <w:sz w:val="24"/>
                <w:szCs w:val="24"/>
              </w:rPr>
              <w:t>BT Maxim</w:t>
            </w:r>
          </w:p>
          <w:p w:rsidR="0019180E" w:rsidRPr="008F00C9" w:rsidRDefault="0019180E" w:rsidP="0019180E">
            <w:pPr>
              <w:jc w:val="both"/>
              <w:rPr>
                <w:sz w:val="24"/>
                <w:szCs w:val="24"/>
              </w:rPr>
            </w:pPr>
            <w:r w:rsidRPr="008F00C9">
              <w:rPr>
                <w:sz w:val="24"/>
                <w:szCs w:val="24"/>
              </w:rPr>
              <w:t>Raiffeisen Actiuni</w:t>
            </w:r>
          </w:p>
        </w:tc>
        <w:tc>
          <w:tcPr>
            <w:tcW w:w="2311" w:type="dxa"/>
          </w:tcPr>
          <w:p w:rsidR="0019180E" w:rsidRPr="008F00C9" w:rsidRDefault="0019180E" w:rsidP="0019180E">
            <w:pPr>
              <w:jc w:val="both"/>
              <w:rPr>
                <w:sz w:val="24"/>
                <w:szCs w:val="24"/>
              </w:rPr>
            </w:pPr>
            <w:r w:rsidRPr="008F00C9">
              <w:rPr>
                <w:sz w:val="24"/>
                <w:szCs w:val="24"/>
              </w:rPr>
              <w:t>ERSTE Equity</w:t>
            </w:r>
          </w:p>
          <w:p w:rsidR="0019180E" w:rsidRPr="008F00C9" w:rsidRDefault="0019180E" w:rsidP="0019180E">
            <w:pPr>
              <w:jc w:val="both"/>
              <w:rPr>
                <w:sz w:val="24"/>
                <w:szCs w:val="24"/>
              </w:rPr>
            </w:pPr>
            <w:r w:rsidRPr="008F00C9">
              <w:rPr>
                <w:sz w:val="24"/>
                <w:szCs w:val="24"/>
              </w:rPr>
              <w:t>BT Maxim</w:t>
            </w:r>
          </w:p>
          <w:p w:rsidR="0019180E" w:rsidRPr="008F00C9" w:rsidRDefault="0019180E" w:rsidP="0019180E">
            <w:pPr>
              <w:jc w:val="both"/>
              <w:rPr>
                <w:sz w:val="24"/>
                <w:szCs w:val="24"/>
              </w:rPr>
            </w:pPr>
            <w:r w:rsidRPr="008F00C9">
              <w:rPr>
                <w:sz w:val="24"/>
                <w:szCs w:val="24"/>
              </w:rPr>
              <w:t>Raiffeisen Actiuni</w:t>
            </w:r>
          </w:p>
        </w:tc>
        <w:tc>
          <w:tcPr>
            <w:tcW w:w="2311" w:type="dxa"/>
          </w:tcPr>
          <w:p w:rsidR="0019180E" w:rsidRPr="008F00C9" w:rsidRDefault="0019180E" w:rsidP="0019180E">
            <w:pPr>
              <w:jc w:val="both"/>
              <w:rPr>
                <w:sz w:val="24"/>
                <w:szCs w:val="24"/>
              </w:rPr>
            </w:pPr>
            <w:r w:rsidRPr="008F00C9">
              <w:rPr>
                <w:sz w:val="24"/>
                <w:szCs w:val="24"/>
              </w:rPr>
              <w:t>ERSTE Equity</w:t>
            </w:r>
          </w:p>
          <w:p w:rsidR="0019180E" w:rsidRPr="008F00C9" w:rsidRDefault="0019180E" w:rsidP="0019180E">
            <w:pPr>
              <w:jc w:val="both"/>
              <w:rPr>
                <w:sz w:val="24"/>
                <w:szCs w:val="24"/>
              </w:rPr>
            </w:pPr>
            <w:r w:rsidRPr="008F00C9">
              <w:rPr>
                <w:sz w:val="24"/>
                <w:szCs w:val="24"/>
              </w:rPr>
              <w:t>BT Maxim</w:t>
            </w:r>
          </w:p>
          <w:p w:rsidR="0019180E" w:rsidRPr="008F00C9" w:rsidRDefault="0019180E" w:rsidP="0019180E">
            <w:pPr>
              <w:jc w:val="both"/>
              <w:rPr>
                <w:sz w:val="24"/>
                <w:szCs w:val="24"/>
              </w:rPr>
            </w:pPr>
            <w:r w:rsidRPr="008F00C9">
              <w:rPr>
                <w:sz w:val="24"/>
                <w:szCs w:val="24"/>
              </w:rPr>
              <w:t>Raiffeisen Actiuni</w:t>
            </w:r>
          </w:p>
        </w:tc>
      </w:tr>
      <w:tr w:rsidR="0019180E" w:rsidRPr="008F00C9" w:rsidTr="0019180E">
        <w:tc>
          <w:tcPr>
            <w:tcW w:w="2310" w:type="dxa"/>
          </w:tcPr>
          <w:p w:rsidR="0019180E" w:rsidRPr="008F00C9" w:rsidRDefault="0001735A" w:rsidP="0019180E">
            <w:pPr>
              <w:jc w:val="both"/>
              <w:rPr>
                <w:sz w:val="24"/>
                <w:szCs w:val="24"/>
              </w:rPr>
            </w:pPr>
            <w:r>
              <w:rPr>
                <w:sz w:val="24"/>
                <w:szCs w:val="24"/>
              </w:rPr>
              <w:t>Overall period</w:t>
            </w:r>
          </w:p>
          <w:p w:rsidR="0019180E" w:rsidRPr="008F00C9" w:rsidRDefault="0019180E" w:rsidP="0019180E">
            <w:pPr>
              <w:jc w:val="both"/>
              <w:rPr>
                <w:sz w:val="24"/>
                <w:szCs w:val="24"/>
              </w:rPr>
            </w:pPr>
            <w:r w:rsidRPr="008F00C9">
              <w:rPr>
                <w:sz w:val="24"/>
                <w:szCs w:val="24"/>
              </w:rPr>
              <w:t>2007-2015</w:t>
            </w:r>
          </w:p>
        </w:tc>
        <w:tc>
          <w:tcPr>
            <w:tcW w:w="2311" w:type="dxa"/>
          </w:tcPr>
          <w:p w:rsidR="0019180E" w:rsidRPr="008F00C9" w:rsidRDefault="0019180E" w:rsidP="0019180E">
            <w:pPr>
              <w:jc w:val="both"/>
              <w:rPr>
                <w:sz w:val="24"/>
                <w:szCs w:val="24"/>
              </w:rPr>
            </w:pPr>
            <w:r w:rsidRPr="008F00C9">
              <w:rPr>
                <w:sz w:val="24"/>
                <w:szCs w:val="24"/>
              </w:rPr>
              <w:t>Certinvest XT Index</w:t>
            </w:r>
          </w:p>
          <w:p w:rsidR="0019180E" w:rsidRPr="008F00C9" w:rsidRDefault="0019180E" w:rsidP="0019180E">
            <w:pPr>
              <w:jc w:val="both"/>
              <w:rPr>
                <w:sz w:val="24"/>
                <w:szCs w:val="24"/>
              </w:rPr>
            </w:pPr>
            <w:r w:rsidRPr="008F00C9">
              <w:rPr>
                <w:sz w:val="24"/>
                <w:szCs w:val="24"/>
              </w:rPr>
              <w:t xml:space="preserve">ERSTE Equity </w:t>
            </w:r>
          </w:p>
          <w:p w:rsidR="0019180E" w:rsidRPr="008F00C9" w:rsidRDefault="0019180E" w:rsidP="0019180E">
            <w:pPr>
              <w:jc w:val="both"/>
              <w:rPr>
                <w:sz w:val="24"/>
                <w:szCs w:val="24"/>
              </w:rPr>
            </w:pPr>
            <w:r w:rsidRPr="008F00C9">
              <w:rPr>
                <w:sz w:val="24"/>
                <w:szCs w:val="24"/>
              </w:rPr>
              <w:t>BT Maxim</w:t>
            </w:r>
          </w:p>
        </w:tc>
        <w:tc>
          <w:tcPr>
            <w:tcW w:w="2311" w:type="dxa"/>
          </w:tcPr>
          <w:p w:rsidR="0019180E" w:rsidRPr="008F00C9" w:rsidRDefault="0019180E" w:rsidP="0019180E">
            <w:pPr>
              <w:jc w:val="both"/>
              <w:rPr>
                <w:sz w:val="24"/>
                <w:szCs w:val="24"/>
              </w:rPr>
            </w:pPr>
            <w:r w:rsidRPr="008F00C9">
              <w:rPr>
                <w:sz w:val="24"/>
                <w:szCs w:val="24"/>
              </w:rPr>
              <w:t>Certinvest XT Index</w:t>
            </w:r>
          </w:p>
          <w:p w:rsidR="0019180E" w:rsidRPr="008F00C9" w:rsidRDefault="0019180E" w:rsidP="0019180E">
            <w:pPr>
              <w:jc w:val="both"/>
              <w:rPr>
                <w:sz w:val="24"/>
                <w:szCs w:val="24"/>
              </w:rPr>
            </w:pPr>
            <w:r w:rsidRPr="008F00C9">
              <w:rPr>
                <w:sz w:val="24"/>
                <w:szCs w:val="24"/>
              </w:rPr>
              <w:t>ERSTE Equity</w:t>
            </w:r>
          </w:p>
          <w:p w:rsidR="0019180E" w:rsidRPr="008F00C9" w:rsidRDefault="0019180E" w:rsidP="0019180E">
            <w:pPr>
              <w:jc w:val="both"/>
              <w:rPr>
                <w:sz w:val="24"/>
                <w:szCs w:val="24"/>
              </w:rPr>
            </w:pPr>
            <w:r w:rsidRPr="008F00C9">
              <w:rPr>
                <w:sz w:val="24"/>
                <w:szCs w:val="24"/>
              </w:rPr>
              <w:t>Raiffeisen Prosper</w:t>
            </w:r>
          </w:p>
        </w:tc>
        <w:tc>
          <w:tcPr>
            <w:tcW w:w="2311" w:type="dxa"/>
          </w:tcPr>
          <w:p w:rsidR="0019180E" w:rsidRPr="008F00C9" w:rsidRDefault="0019180E" w:rsidP="0019180E">
            <w:pPr>
              <w:jc w:val="both"/>
              <w:rPr>
                <w:sz w:val="24"/>
                <w:szCs w:val="24"/>
              </w:rPr>
            </w:pPr>
            <w:r w:rsidRPr="008F00C9">
              <w:rPr>
                <w:sz w:val="24"/>
                <w:szCs w:val="24"/>
              </w:rPr>
              <w:t>Certinvest XT Index</w:t>
            </w:r>
          </w:p>
          <w:p w:rsidR="0019180E" w:rsidRPr="008F00C9" w:rsidRDefault="0019180E" w:rsidP="0019180E">
            <w:pPr>
              <w:jc w:val="both"/>
              <w:rPr>
                <w:sz w:val="24"/>
                <w:szCs w:val="24"/>
              </w:rPr>
            </w:pPr>
            <w:r w:rsidRPr="008F00C9">
              <w:rPr>
                <w:sz w:val="24"/>
                <w:szCs w:val="24"/>
              </w:rPr>
              <w:t>ERSTE Equity</w:t>
            </w:r>
          </w:p>
          <w:p w:rsidR="0019180E" w:rsidRPr="008F00C9" w:rsidRDefault="0019180E" w:rsidP="0019180E">
            <w:pPr>
              <w:jc w:val="both"/>
              <w:rPr>
                <w:sz w:val="24"/>
                <w:szCs w:val="24"/>
              </w:rPr>
            </w:pPr>
            <w:r w:rsidRPr="008F00C9">
              <w:rPr>
                <w:sz w:val="24"/>
                <w:szCs w:val="24"/>
              </w:rPr>
              <w:t>Raiffeisen Prosper</w:t>
            </w:r>
          </w:p>
        </w:tc>
      </w:tr>
    </w:tbl>
    <w:p w:rsidR="0019180E" w:rsidRPr="008F00C9" w:rsidRDefault="00F73270" w:rsidP="0019180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Source</w:t>
      </w:r>
      <w:r w:rsidR="0019180E" w:rsidRPr="008F00C9">
        <w:rPr>
          <w:rFonts w:ascii="Times New Roman" w:hAnsi="Times New Roman" w:cs="Times New Roman"/>
          <w:sz w:val="24"/>
          <w:szCs w:val="24"/>
        </w:rPr>
        <w:t xml:space="preserve">: </w:t>
      </w:r>
      <w:r>
        <w:rPr>
          <w:rFonts w:ascii="Times New Roman" w:hAnsi="Times New Roman" w:cs="Times New Roman"/>
          <w:sz w:val="24"/>
          <w:szCs w:val="24"/>
        </w:rPr>
        <w:t>author’s own processing</w:t>
      </w:r>
    </w:p>
    <w:p w:rsidR="0001735A" w:rsidRPr="0001735A" w:rsidRDefault="0001735A" w:rsidP="0001735A">
      <w:pPr>
        <w:spacing w:after="120" w:line="240" w:lineRule="auto"/>
        <w:jc w:val="both"/>
        <w:rPr>
          <w:rFonts w:ascii="Times New Roman" w:hAnsi="Times New Roman" w:cs="Times New Roman"/>
          <w:sz w:val="24"/>
          <w:szCs w:val="24"/>
        </w:rPr>
      </w:pPr>
      <w:r w:rsidRPr="0001735A">
        <w:rPr>
          <w:rFonts w:ascii="Times New Roman" w:hAnsi="Times New Roman" w:cs="Times New Roman"/>
          <w:sz w:val="24"/>
          <w:szCs w:val="24"/>
        </w:rPr>
        <w:t xml:space="preserve">According to </w:t>
      </w:r>
      <w:r>
        <w:rPr>
          <w:rFonts w:ascii="Times New Roman" w:hAnsi="Times New Roman" w:cs="Times New Roman"/>
          <w:sz w:val="24"/>
          <w:szCs w:val="24"/>
        </w:rPr>
        <w:t xml:space="preserve">the </w:t>
      </w:r>
      <w:r w:rsidRPr="0001735A">
        <w:rPr>
          <w:rFonts w:ascii="Times New Roman" w:hAnsi="Times New Roman" w:cs="Times New Roman"/>
          <w:sz w:val="24"/>
          <w:szCs w:val="24"/>
        </w:rPr>
        <w:t>high exposure in shares,</w:t>
      </w:r>
      <w:r>
        <w:rPr>
          <w:rFonts w:ascii="Times New Roman" w:hAnsi="Times New Roman" w:cs="Times New Roman"/>
          <w:sz w:val="24"/>
          <w:szCs w:val="24"/>
        </w:rPr>
        <w:t xml:space="preserve"> equity</w:t>
      </w:r>
      <w:r w:rsidRPr="0001735A">
        <w:rPr>
          <w:rFonts w:ascii="Times New Roman" w:hAnsi="Times New Roman" w:cs="Times New Roman"/>
          <w:sz w:val="24"/>
          <w:szCs w:val="24"/>
        </w:rPr>
        <w:t xml:space="preserve"> funds have generated </w:t>
      </w:r>
      <w:r>
        <w:rPr>
          <w:rFonts w:ascii="Times New Roman" w:hAnsi="Times New Roman" w:cs="Times New Roman"/>
          <w:sz w:val="24"/>
          <w:szCs w:val="24"/>
        </w:rPr>
        <w:t>results</w:t>
      </w:r>
      <w:r w:rsidRPr="0001735A">
        <w:rPr>
          <w:rFonts w:ascii="Times New Roman" w:hAnsi="Times New Roman" w:cs="Times New Roman"/>
          <w:sz w:val="24"/>
          <w:szCs w:val="24"/>
        </w:rPr>
        <w:t xml:space="preserve"> below the market average</w:t>
      </w:r>
      <w:r>
        <w:rPr>
          <w:rFonts w:ascii="Times New Roman" w:hAnsi="Times New Roman" w:cs="Times New Roman"/>
          <w:sz w:val="24"/>
          <w:szCs w:val="24"/>
        </w:rPr>
        <w:t xml:space="preserve"> </w:t>
      </w:r>
      <w:r w:rsidRPr="0001735A">
        <w:rPr>
          <w:rFonts w:ascii="Times New Roman" w:hAnsi="Times New Roman" w:cs="Times New Roman"/>
          <w:sz w:val="24"/>
          <w:szCs w:val="24"/>
        </w:rPr>
        <w:t>until 2012</w:t>
      </w:r>
      <w:r>
        <w:rPr>
          <w:rFonts w:ascii="Times New Roman" w:hAnsi="Times New Roman" w:cs="Times New Roman"/>
          <w:sz w:val="24"/>
          <w:szCs w:val="24"/>
        </w:rPr>
        <w:t xml:space="preserve"> </w:t>
      </w:r>
      <w:r w:rsidRPr="0001735A">
        <w:rPr>
          <w:rFonts w:ascii="Times New Roman" w:hAnsi="Times New Roman" w:cs="Times New Roman"/>
          <w:sz w:val="24"/>
          <w:szCs w:val="24"/>
        </w:rPr>
        <w:t>except ERSTE</w:t>
      </w:r>
      <w:r>
        <w:rPr>
          <w:rFonts w:ascii="Times New Roman" w:hAnsi="Times New Roman" w:cs="Times New Roman"/>
          <w:sz w:val="24"/>
          <w:szCs w:val="24"/>
        </w:rPr>
        <w:t xml:space="preserve"> </w:t>
      </w:r>
      <w:r w:rsidRPr="0001735A">
        <w:rPr>
          <w:rFonts w:ascii="Times New Roman" w:hAnsi="Times New Roman" w:cs="Times New Roman"/>
          <w:sz w:val="24"/>
          <w:szCs w:val="24"/>
        </w:rPr>
        <w:t>Equity Romania</w:t>
      </w:r>
      <w:r>
        <w:rPr>
          <w:rFonts w:ascii="Times New Roman" w:hAnsi="Times New Roman" w:cs="Times New Roman"/>
          <w:sz w:val="24"/>
          <w:szCs w:val="24"/>
        </w:rPr>
        <w:t xml:space="preserve"> </w:t>
      </w:r>
      <w:r w:rsidRPr="0001735A">
        <w:rPr>
          <w:rFonts w:ascii="Times New Roman" w:hAnsi="Times New Roman" w:cs="Times New Roman"/>
          <w:sz w:val="24"/>
          <w:szCs w:val="24"/>
        </w:rPr>
        <w:t>fund which has improved</w:t>
      </w:r>
      <w:r>
        <w:rPr>
          <w:rFonts w:ascii="Times New Roman" w:hAnsi="Times New Roman" w:cs="Times New Roman"/>
          <w:sz w:val="24"/>
          <w:szCs w:val="24"/>
        </w:rPr>
        <w:t xml:space="preserve"> its</w:t>
      </w:r>
      <w:r w:rsidRPr="0001735A">
        <w:rPr>
          <w:rFonts w:ascii="Times New Roman" w:hAnsi="Times New Roman" w:cs="Times New Roman"/>
          <w:sz w:val="24"/>
          <w:szCs w:val="24"/>
        </w:rPr>
        <w:t xml:space="preserve"> profitability</w:t>
      </w:r>
      <w:r>
        <w:rPr>
          <w:rFonts w:ascii="Times New Roman" w:hAnsi="Times New Roman" w:cs="Times New Roman"/>
          <w:sz w:val="24"/>
          <w:szCs w:val="24"/>
        </w:rPr>
        <w:t>-</w:t>
      </w:r>
      <w:r w:rsidRPr="0001735A">
        <w:rPr>
          <w:rFonts w:ascii="Times New Roman" w:hAnsi="Times New Roman" w:cs="Times New Roman"/>
          <w:sz w:val="24"/>
          <w:szCs w:val="24"/>
        </w:rPr>
        <w:t xml:space="preserve"> risk scores from 2010-2012, registering positive values for </w:t>
      </w:r>
      <w:r>
        <w:rPr>
          <w:rFonts w:ascii="Times New Roman" w:hAnsi="Times New Roman" w:cs="Times New Roman"/>
          <w:sz w:val="24"/>
          <w:szCs w:val="24"/>
        </w:rPr>
        <w:t xml:space="preserve">all </w:t>
      </w:r>
      <w:r w:rsidRPr="0001735A">
        <w:rPr>
          <w:rFonts w:ascii="Times New Roman" w:hAnsi="Times New Roman" w:cs="Times New Roman"/>
          <w:sz w:val="24"/>
          <w:szCs w:val="24"/>
        </w:rPr>
        <w:t xml:space="preserve">three calculated rates. </w:t>
      </w:r>
      <w:r>
        <w:rPr>
          <w:rFonts w:ascii="Times New Roman" w:hAnsi="Times New Roman" w:cs="Times New Roman"/>
          <w:sz w:val="24"/>
          <w:szCs w:val="24"/>
        </w:rPr>
        <w:t>Period 2013-2015 outlines the</w:t>
      </w:r>
      <w:r w:rsidRPr="0001735A">
        <w:rPr>
          <w:rFonts w:ascii="Times New Roman" w:hAnsi="Times New Roman" w:cs="Times New Roman"/>
          <w:sz w:val="24"/>
          <w:szCs w:val="24"/>
        </w:rPr>
        <w:t xml:space="preserve"> relaunch </w:t>
      </w:r>
      <w:r>
        <w:rPr>
          <w:rFonts w:ascii="Times New Roman" w:hAnsi="Times New Roman" w:cs="Times New Roman"/>
          <w:sz w:val="24"/>
          <w:szCs w:val="24"/>
        </w:rPr>
        <w:t>of equity market</w:t>
      </w:r>
      <w:r w:rsidRPr="0001735A">
        <w:rPr>
          <w:rFonts w:ascii="Times New Roman" w:hAnsi="Times New Roman" w:cs="Times New Roman"/>
          <w:sz w:val="24"/>
          <w:szCs w:val="24"/>
        </w:rPr>
        <w:t>,</w:t>
      </w:r>
      <w:r>
        <w:rPr>
          <w:rFonts w:ascii="Times New Roman" w:hAnsi="Times New Roman" w:cs="Times New Roman"/>
          <w:sz w:val="24"/>
          <w:szCs w:val="24"/>
        </w:rPr>
        <w:t xml:space="preserve"> e.g.</w:t>
      </w:r>
      <w:r w:rsidRPr="0001735A">
        <w:rPr>
          <w:rFonts w:ascii="Times New Roman" w:hAnsi="Times New Roman" w:cs="Times New Roman"/>
          <w:sz w:val="24"/>
          <w:szCs w:val="24"/>
        </w:rPr>
        <w:t xml:space="preserve"> 6 of the 10 funds included in the analysis leading to positive rates of performance. Thus, </w:t>
      </w:r>
      <w:r w:rsidR="0065531F">
        <w:rPr>
          <w:rFonts w:ascii="Times New Roman" w:hAnsi="Times New Roman" w:cs="Times New Roman"/>
          <w:sz w:val="24"/>
          <w:szCs w:val="24"/>
        </w:rPr>
        <w:t xml:space="preserve">the </w:t>
      </w:r>
      <w:r w:rsidRPr="0001735A">
        <w:rPr>
          <w:rFonts w:ascii="Times New Roman" w:hAnsi="Times New Roman" w:cs="Times New Roman"/>
          <w:sz w:val="24"/>
          <w:szCs w:val="24"/>
        </w:rPr>
        <w:t xml:space="preserve">records </w:t>
      </w:r>
      <w:r w:rsidR="0065531F">
        <w:rPr>
          <w:rFonts w:ascii="Times New Roman" w:hAnsi="Times New Roman" w:cs="Times New Roman"/>
          <w:sz w:val="24"/>
          <w:szCs w:val="24"/>
        </w:rPr>
        <w:t xml:space="preserve">of </w:t>
      </w:r>
      <w:r w:rsidRPr="0001735A">
        <w:rPr>
          <w:rFonts w:ascii="Times New Roman" w:hAnsi="Times New Roman" w:cs="Times New Roman"/>
          <w:sz w:val="24"/>
          <w:szCs w:val="24"/>
        </w:rPr>
        <w:t xml:space="preserve">Sharpe </w:t>
      </w:r>
      <w:r w:rsidR="0065531F" w:rsidRPr="0001735A">
        <w:rPr>
          <w:rFonts w:ascii="Times New Roman" w:hAnsi="Times New Roman" w:cs="Times New Roman"/>
          <w:sz w:val="24"/>
          <w:szCs w:val="24"/>
        </w:rPr>
        <w:t>rate</w:t>
      </w:r>
      <w:r w:rsidRPr="0001735A">
        <w:rPr>
          <w:rFonts w:ascii="Times New Roman" w:hAnsi="Times New Roman" w:cs="Times New Roman"/>
          <w:sz w:val="24"/>
          <w:szCs w:val="24"/>
        </w:rPr>
        <w:t>, Treynor and Jensen</w:t>
      </w:r>
      <w:r w:rsidR="0065531F">
        <w:rPr>
          <w:rFonts w:ascii="Times New Roman" w:hAnsi="Times New Roman" w:cs="Times New Roman"/>
          <w:sz w:val="24"/>
          <w:szCs w:val="24"/>
        </w:rPr>
        <w:t xml:space="preserve"> </w:t>
      </w:r>
      <w:r w:rsidR="0065531F" w:rsidRPr="0001735A">
        <w:rPr>
          <w:rFonts w:ascii="Times New Roman" w:hAnsi="Times New Roman" w:cs="Times New Roman"/>
          <w:sz w:val="24"/>
          <w:szCs w:val="24"/>
        </w:rPr>
        <w:t>rate</w:t>
      </w:r>
      <w:r w:rsidR="0065531F">
        <w:rPr>
          <w:rFonts w:ascii="Times New Roman" w:hAnsi="Times New Roman" w:cs="Times New Roman"/>
          <w:sz w:val="24"/>
          <w:szCs w:val="24"/>
        </w:rPr>
        <w:t>s</w:t>
      </w:r>
      <w:r w:rsidRPr="0001735A">
        <w:rPr>
          <w:rFonts w:ascii="Times New Roman" w:hAnsi="Times New Roman" w:cs="Times New Roman"/>
          <w:sz w:val="24"/>
          <w:szCs w:val="24"/>
        </w:rPr>
        <w:t xml:space="preserve"> </w:t>
      </w:r>
      <w:r w:rsidR="0065531F" w:rsidRPr="0001735A">
        <w:rPr>
          <w:rFonts w:ascii="Times New Roman" w:hAnsi="Times New Roman" w:cs="Times New Roman"/>
          <w:sz w:val="24"/>
          <w:szCs w:val="24"/>
        </w:rPr>
        <w:t xml:space="preserve">unitary </w:t>
      </w:r>
      <w:r w:rsidRPr="0001735A">
        <w:rPr>
          <w:rFonts w:ascii="Times New Roman" w:hAnsi="Times New Roman" w:cs="Times New Roman"/>
          <w:sz w:val="24"/>
          <w:szCs w:val="24"/>
        </w:rPr>
        <w:t>define</w:t>
      </w:r>
      <w:r w:rsidR="0065531F">
        <w:rPr>
          <w:rFonts w:ascii="Times New Roman" w:hAnsi="Times New Roman" w:cs="Times New Roman"/>
          <w:sz w:val="24"/>
          <w:szCs w:val="24"/>
        </w:rPr>
        <w:t xml:space="preserve"> the</w:t>
      </w:r>
      <w:r w:rsidRPr="0001735A">
        <w:rPr>
          <w:rFonts w:ascii="Times New Roman" w:hAnsi="Times New Roman" w:cs="Times New Roman"/>
          <w:sz w:val="24"/>
          <w:szCs w:val="24"/>
        </w:rPr>
        <w:t xml:space="preserve"> top three equity funds with returns in excess of the </w:t>
      </w:r>
      <w:r w:rsidR="0065531F" w:rsidRPr="0001735A">
        <w:rPr>
          <w:rFonts w:ascii="Times New Roman" w:hAnsi="Times New Roman" w:cs="Times New Roman"/>
          <w:sz w:val="24"/>
          <w:szCs w:val="24"/>
        </w:rPr>
        <w:t xml:space="preserve">assumed </w:t>
      </w:r>
      <w:r w:rsidR="0065531F">
        <w:rPr>
          <w:rFonts w:ascii="Times New Roman" w:hAnsi="Times New Roman" w:cs="Times New Roman"/>
          <w:sz w:val="24"/>
          <w:szCs w:val="24"/>
        </w:rPr>
        <w:t>risk, namely: (1) ERSTE Equity Romania fund, (2</w:t>
      </w:r>
      <w:r w:rsidRPr="0001735A">
        <w:rPr>
          <w:rFonts w:ascii="Times New Roman" w:hAnsi="Times New Roman" w:cs="Times New Roman"/>
          <w:sz w:val="24"/>
          <w:szCs w:val="24"/>
        </w:rPr>
        <w:t>) BT Maxi</w:t>
      </w:r>
      <w:r w:rsidR="0065531F">
        <w:rPr>
          <w:rFonts w:ascii="Times New Roman" w:hAnsi="Times New Roman" w:cs="Times New Roman"/>
          <w:sz w:val="24"/>
          <w:szCs w:val="24"/>
        </w:rPr>
        <w:t>m and (3) Raiffeisen Actiuni</w:t>
      </w:r>
      <w:r w:rsidRPr="0001735A">
        <w:rPr>
          <w:rFonts w:ascii="Times New Roman" w:hAnsi="Times New Roman" w:cs="Times New Roman"/>
          <w:sz w:val="24"/>
          <w:szCs w:val="24"/>
        </w:rPr>
        <w:t>.</w:t>
      </w:r>
    </w:p>
    <w:p w:rsidR="0065531F" w:rsidRPr="0065531F" w:rsidRDefault="0065531F" w:rsidP="0065531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Considering the balanced funds performance analysis, for the past 3 years we see that in the most cases they have followed the benchmark (i.e. the yield of the bank deposit rate of 13%) </w:t>
      </w:r>
      <w:r w:rsidRPr="0065531F">
        <w:rPr>
          <w:rFonts w:ascii="Times New Roman" w:hAnsi="Times New Roman" w:cs="Times New Roman"/>
          <w:sz w:val="24"/>
          <w:szCs w:val="24"/>
        </w:rPr>
        <w:t>which represents a minimum in terms of a conservati</w:t>
      </w:r>
      <w:r>
        <w:rPr>
          <w:rFonts w:ascii="Times New Roman" w:hAnsi="Times New Roman" w:cs="Times New Roman"/>
          <w:sz w:val="24"/>
          <w:szCs w:val="24"/>
        </w:rPr>
        <w:t>ve approach</w:t>
      </w:r>
      <w:r w:rsidRPr="0065531F">
        <w:rPr>
          <w:rFonts w:ascii="Times New Roman" w:hAnsi="Times New Roman" w:cs="Times New Roman"/>
          <w:sz w:val="24"/>
          <w:szCs w:val="24"/>
        </w:rPr>
        <w:t xml:space="preserve">. In contrast, only part of the diversified funds have exceeded the best performing funds with low risk over the past 3 years, </w:t>
      </w:r>
      <w:r>
        <w:rPr>
          <w:rFonts w:ascii="Times New Roman" w:hAnsi="Times New Roman" w:cs="Times New Roman"/>
          <w:sz w:val="24"/>
          <w:szCs w:val="24"/>
        </w:rPr>
        <w:t>e.g.</w:t>
      </w:r>
      <w:r w:rsidRPr="0065531F">
        <w:rPr>
          <w:rFonts w:ascii="Times New Roman" w:hAnsi="Times New Roman" w:cs="Times New Roman"/>
          <w:sz w:val="24"/>
          <w:szCs w:val="24"/>
        </w:rPr>
        <w:t xml:space="preserve"> Carpatica Global , Erste Balanced RON </w:t>
      </w:r>
      <w:r>
        <w:rPr>
          <w:rFonts w:ascii="Times New Roman" w:hAnsi="Times New Roman" w:cs="Times New Roman"/>
          <w:sz w:val="24"/>
          <w:szCs w:val="24"/>
        </w:rPr>
        <w:t>and</w:t>
      </w:r>
      <w:r w:rsidRPr="0065531F">
        <w:rPr>
          <w:rFonts w:ascii="Times New Roman" w:hAnsi="Times New Roman" w:cs="Times New Roman"/>
          <w:sz w:val="24"/>
          <w:szCs w:val="24"/>
        </w:rPr>
        <w:t xml:space="preserve"> Raiffeisen Benefit .</w:t>
      </w:r>
    </w:p>
    <w:p w:rsidR="0065531F" w:rsidRDefault="0065531F" w:rsidP="004916E9">
      <w:pPr>
        <w:spacing w:line="240" w:lineRule="auto"/>
        <w:jc w:val="both"/>
        <w:rPr>
          <w:rFonts w:ascii="Times New Roman" w:hAnsi="Times New Roman" w:cs="Times New Roman"/>
          <w:sz w:val="24"/>
          <w:szCs w:val="24"/>
        </w:rPr>
      </w:pPr>
    </w:p>
    <w:p w:rsidR="0065531F" w:rsidRDefault="0065531F" w:rsidP="004916E9">
      <w:pPr>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lastRenderedPageBreak/>
        <w:t>Chart</w:t>
      </w:r>
      <w:r w:rsidRPr="0065531F">
        <w:rPr>
          <w:rFonts w:ascii="Times New Roman" w:hAnsi="Times New Roman" w:cs="Times New Roman"/>
          <w:spacing w:val="-4"/>
          <w:sz w:val="24"/>
          <w:szCs w:val="24"/>
        </w:rPr>
        <w:t xml:space="preserve"> 3.1 shows </w:t>
      </w:r>
      <w:r>
        <w:rPr>
          <w:rFonts w:ascii="Times New Roman" w:hAnsi="Times New Roman" w:cs="Times New Roman"/>
          <w:spacing w:val="-4"/>
          <w:sz w:val="24"/>
          <w:szCs w:val="24"/>
        </w:rPr>
        <w:t>the</w:t>
      </w:r>
      <w:r w:rsidRPr="0065531F">
        <w:rPr>
          <w:rFonts w:ascii="Times New Roman" w:hAnsi="Times New Roman" w:cs="Times New Roman"/>
          <w:spacing w:val="-4"/>
          <w:sz w:val="24"/>
          <w:szCs w:val="24"/>
        </w:rPr>
        <w:t xml:space="preserve"> FDD fund performance evolution </w:t>
      </w:r>
      <w:r>
        <w:rPr>
          <w:rFonts w:ascii="Times New Roman" w:hAnsi="Times New Roman" w:cs="Times New Roman"/>
          <w:spacing w:val="-4"/>
          <w:sz w:val="24"/>
          <w:szCs w:val="24"/>
        </w:rPr>
        <w:t>against the market dynamics (</w:t>
      </w:r>
      <w:r w:rsidRPr="0065531F">
        <w:rPr>
          <w:rFonts w:ascii="Times New Roman" w:hAnsi="Times New Roman" w:cs="Times New Roman"/>
          <w:spacing w:val="-4"/>
          <w:sz w:val="24"/>
          <w:szCs w:val="24"/>
        </w:rPr>
        <w:t>represented by the annual change in BET</w:t>
      </w:r>
      <w:r>
        <w:rPr>
          <w:rFonts w:ascii="Times New Roman" w:hAnsi="Times New Roman" w:cs="Times New Roman"/>
          <w:spacing w:val="-4"/>
          <w:sz w:val="24"/>
          <w:szCs w:val="24"/>
        </w:rPr>
        <w:t>) and inflation. Herewith</w:t>
      </w:r>
      <w:r w:rsidRPr="0065531F">
        <w:rPr>
          <w:rFonts w:ascii="Times New Roman" w:hAnsi="Times New Roman" w:cs="Times New Roman"/>
          <w:spacing w:val="-4"/>
          <w:sz w:val="24"/>
          <w:szCs w:val="24"/>
        </w:rPr>
        <w:t xml:space="preserve"> we observe </w:t>
      </w:r>
      <w:r>
        <w:rPr>
          <w:rFonts w:ascii="Times New Roman" w:hAnsi="Times New Roman" w:cs="Times New Roman"/>
          <w:spacing w:val="-4"/>
          <w:sz w:val="24"/>
          <w:szCs w:val="24"/>
        </w:rPr>
        <w:t xml:space="preserve">as well the </w:t>
      </w:r>
      <w:r w:rsidRPr="0065531F">
        <w:rPr>
          <w:rFonts w:ascii="Times New Roman" w:hAnsi="Times New Roman" w:cs="Times New Roman"/>
          <w:spacing w:val="-4"/>
          <w:sz w:val="24"/>
          <w:szCs w:val="24"/>
        </w:rPr>
        <w:t xml:space="preserve">W dynamics in 2007-2012 </w:t>
      </w:r>
      <w:r w:rsidR="00243D64">
        <w:rPr>
          <w:rFonts w:ascii="Times New Roman" w:hAnsi="Times New Roman" w:cs="Times New Roman"/>
          <w:spacing w:val="-4"/>
          <w:sz w:val="24"/>
          <w:szCs w:val="24"/>
        </w:rPr>
        <w:t>range</w:t>
      </w:r>
      <w:r>
        <w:rPr>
          <w:rFonts w:ascii="Times New Roman" w:hAnsi="Times New Roman" w:cs="Times New Roman"/>
          <w:spacing w:val="-4"/>
          <w:sz w:val="24"/>
          <w:szCs w:val="24"/>
        </w:rPr>
        <w:t>, being</w:t>
      </w:r>
      <w:r w:rsidRPr="0065531F">
        <w:rPr>
          <w:rFonts w:ascii="Times New Roman" w:hAnsi="Times New Roman" w:cs="Times New Roman"/>
          <w:spacing w:val="-4"/>
          <w:sz w:val="24"/>
          <w:szCs w:val="24"/>
        </w:rPr>
        <w:t xml:space="preserve"> strongly influenced by the global financial crisis (2007-2009) and </w:t>
      </w:r>
      <w:r>
        <w:rPr>
          <w:rFonts w:ascii="Times New Roman" w:hAnsi="Times New Roman" w:cs="Times New Roman"/>
          <w:spacing w:val="-4"/>
          <w:sz w:val="24"/>
          <w:szCs w:val="24"/>
        </w:rPr>
        <w:t xml:space="preserve">its </w:t>
      </w:r>
      <w:r w:rsidRPr="0065531F">
        <w:rPr>
          <w:rFonts w:ascii="Times New Roman" w:hAnsi="Times New Roman" w:cs="Times New Roman"/>
          <w:spacing w:val="-4"/>
          <w:sz w:val="24"/>
          <w:szCs w:val="24"/>
        </w:rPr>
        <w:t>enlargement towards the d</w:t>
      </w:r>
      <w:r>
        <w:rPr>
          <w:rFonts w:ascii="Times New Roman" w:hAnsi="Times New Roman" w:cs="Times New Roman"/>
          <w:spacing w:val="-4"/>
          <w:sz w:val="24"/>
          <w:szCs w:val="24"/>
        </w:rPr>
        <w:t>ebt crisis in the next period (2010-2012)</w:t>
      </w:r>
      <w:r w:rsidRPr="0065531F">
        <w:rPr>
          <w:rFonts w:ascii="Times New Roman" w:hAnsi="Times New Roman" w:cs="Times New Roman"/>
          <w:spacing w:val="-4"/>
          <w:sz w:val="24"/>
          <w:szCs w:val="24"/>
        </w:rPr>
        <w:t>.</w:t>
      </w:r>
    </w:p>
    <w:p w:rsidR="0065531F" w:rsidRPr="008F00C9" w:rsidRDefault="0065531F" w:rsidP="004916E9">
      <w:pPr>
        <w:spacing w:after="0" w:line="240" w:lineRule="auto"/>
        <w:jc w:val="both"/>
        <w:rPr>
          <w:rFonts w:ascii="Times New Roman" w:hAnsi="Times New Roman" w:cs="Times New Roman"/>
          <w:spacing w:val="-4"/>
          <w:sz w:val="24"/>
          <w:szCs w:val="24"/>
        </w:rPr>
      </w:pPr>
    </w:p>
    <w:p w:rsidR="0019180E" w:rsidRPr="008F00C9" w:rsidRDefault="0065531F" w:rsidP="004916E9">
      <w:pPr>
        <w:pStyle w:val="Caption"/>
        <w:spacing w:before="0" w:beforeAutospacing="0" w:after="0" w:afterAutospacing="0"/>
        <w:jc w:val="center"/>
        <w:rPr>
          <w:b/>
        </w:rPr>
      </w:pPr>
      <w:bookmarkStart w:id="22" w:name="_Toc449385072"/>
      <w:r>
        <w:rPr>
          <w:b/>
        </w:rPr>
        <w:t>Chart</w:t>
      </w:r>
      <w:r w:rsidR="0019180E" w:rsidRPr="008F00C9">
        <w:rPr>
          <w:b/>
        </w:rPr>
        <w:t xml:space="preserve"> 3. </w:t>
      </w:r>
      <w:r w:rsidR="004B4616" w:rsidRPr="008F00C9">
        <w:rPr>
          <w:b/>
        </w:rPr>
        <w:fldChar w:fldCharType="begin"/>
      </w:r>
      <w:r w:rsidR="0019180E" w:rsidRPr="008F00C9">
        <w:rPr>
          <w:b/>
        </w:rPr>
        <w:instrText xml:space="preserve"> SEQ Grafic_3. \* ARABIC </w:instrText>
      </w:r>
      <w:r w:rsidR="004B4616" w:rsidRPr="008F00C9">
        <w:rPr>
          <w:b/>
        </w:rPr>
        <w:fldChar w:fldCharType="separate"/>
      </w:r>
      <w:r w:rsidR="00695698" w:rsidRPr="008F00C9">
        <w:rPr>
          <w:b/>
          <w:noProof/>
        </w:rPr>
        <w:t>1</w:t>
      </w:r>
      <w:r w:rsidR="004B4616" w:rsidRPr="008F00C9">
        <w:rPr>
          <w:b/>
        </w:rPr>
        <w:fldChar w:fldCharType="end"/>
      </w:r>
      <w:r w:rsidR="0019180E" w:rsidRPr="008F00C9">
        <w:rPr>
          <w:b/>
        </w:rPr>
        <w:t xml:space="preserve"> </w:t>
      </w:r>
      <w:r>
        <w:rPr>
          <w:b/>
        </w:rPr>
        <w:t xml:space="preserve">FDD performance evolution vs inflation rate and benchmark rate </w:t>
      </w:r>
      <w:bookmarkEnd w:id="22"/>
    </w:p>
    <w:p w:rsidR="0019180E" w:rsidRPr="008F00C9" w:rsidRDefault="0019180E" w:rsidP="004916E9">
      <w:pPr>
        <w:spacing w:after="0" w:line="240" w:lineRule="auto"/>
        <w:jc w:val="center"/>
        <w:rPr>
          <w:rFonts w:ascii="Times New Roman" w:hAnsi="Times New Roman" w:cs="Times New Roman"/>
          <w:sz w:val="24"/>
          <w:szCs w:val="24"/>
        </w:rPr>
      </w:pPr>
      <w:r w:rsidRPr="008F00C9">
        <w:rPr>
          <w:noProof/>
          <w:szCs w:val="24"/>
        </w:rPr>
        <w:drawing>
          <wp:inline distT="0" distB="0" distL="0" distR="0">
            <wp:extent cx="4181889" cy="1788272"/>
            <wp:effectExtent l="19050" t="0" r="9111"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40"/>
                    <a:srcRect/>
                    <a:stretch>
                      <a:fillRect/>
                    </a:stretch>
                  </pic:blipFill>
                  <pic:spPr bwMode="auto">
                    <a:xfrm>
                      <a:off x="0" y="0"/>
                      <a:ext cx="4186144" cy="1790091"/>
                    </a:xfrm>
                    <a:prstGeom prst="rect">
                      <a:avLst/>
                    </a:prstGeom>
                    <a:noFill/>
                    <a:ln w="9525">
                      <a:noFill/>
                      <a:miter lim="800000"/>
                      <a:headEnd/>
                      <a:tailEnd/>
                    </a:ln>
                  </pic:spPr>
                </pic:pic>
              </a:graphicData>
            </a:graphic>
          </wp:inline>
        </w:drawing>
      </w:r>
    </w:p>
    <w:p w:rsidR="0019180E" w:rsidRDefault="00F73270" w:rsidP="004916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Source</w:t>
      </w:r>
      <w:r w:rsidR="0019180E" w:rsidRPr="008F00C9">
        <w:rPr>
          <w:rFonts w:ascii="Times New Roman" w:hAnsi="Times New Roman" w:cs="Times New Roman"/>
          <w:sz w:val="24"/>
          <w:szCs w:val="24"/>
        </w:rPr>
        <w:t xml:space="preserve">: </w:t>
      </w:r>
      <w:r>
        <w:rPr>
          <w:rFonts w:ascii="Times New Roman" w:hAnsi="Times New Roman" w:cs="Times New Roman"/>
          <w:sz w:val="24"/>
          <w:szCs w:val="24"/>
        </w:rPr>
        <w:t>author’s own processing</w:t>
      </w:r>
    </w:p>
    <w:p w:rsidR="00F73270" w:rsidRPr="008F00C9" w:rsidRDefault="00F73270" w:rsidP="004916E9">
      <w:pPr>
        <w:spacing w:after="0" w:line="240" w:lineRule="auto"/>
        <w:jc w:val="center"/>
        <w:rPr>
          <w:rFonts w:ascii="Times New Roman" w:hAnsi="Times New Roman" w:cs="Times New Roman"/>
          <w:sz w:val="24"/>
          <w:szCs w:val="24"/>
        </w:rPr>
      </w:pPr>
    </w:p>
    <w:p w:rsidR="00B02002" w:rsidRDefault="0065531F" w:rsidP="004916E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w:t>
      </w:r>
      <w:r w:rsidRPr="0065531F">
        <w:rPr>
          <w:rFonts w:ascii="Times New Roman" w:hAnsi="Times New Roman" w:cs="Times New Roman"/>
          <w:sz w:val="24"/>
          <w:szCs w:val="24"/>
        </w:rPr>
        <w:t>uring the financial market turmoil</w:t>
      </w:r>
      <w:r>
        <w:rPr>
          <w:rFonts w:ascii="Times New Roman" w:hAnsi="Times New Roman" w:cs="Times New Roman"/>
          <w:sz w:val="24"/>
          <w:szCs w:val="24"/>
        </w:rPr>
        <w:t>, i</w:t>
      </w:r>
      <w:r w:rsidRPr="0065531F">
        <w:rPr>
          <w:rFonts w:ascii="Times New Roman" w:hAnsi="Times New Roman" w:cs="Times New Roman"/>
          <w:sz w:val="24"/>
          <w:szCs w:val="24"/>
        </w:rPr>
        <w:t>nvestors' preference for low-risk instruments has creat</w:t>
      </w:r>
      <w:r>
        <w:rPr>
          <w:rFonts w:ascii="Times New Roman" w:hAnsi="Times New Roman" w:cs="Times New Roman"/>
          <w:sz w:val="24"/>
          <w:szCs w:val="24"/>
        </w:rPr>
        <w:t>ed opportunities for bond funds</w:t>
      </w:r>
      <w:r w:rsidRPr="0065531F">
        <w:rPr>
          <w:rFonts w:ascii="Times New Roman" w:hAnsi="Times New Roman" w:cs="Times New Roman"/>
          <w:sz w:val="24"/>
          <w:szCs w:val="24"/>
        </w:rPr>
        <w:t xml:space="preserve"> which proposed the highest average returns across </w:t>
      </w:r>
      <w:r w:rsidR="00B02002">
        <w:rPr>
          <w:rFonts w:ascii="Times New Roman" w:hAnsi="Times New Roman" w:cs="Times New Roman"/>
          <w:sz w:val="24"/>
          <w:szCs w:val="24"/>
        </w:rPr>
        <w:t xml:space="preserve">the analyzed </w:t>
      </w:r>
      <w:r w:rsidRPr="0065531F">
        <w:rPr>
          <w:rFonts w:ascii="Times New Roman" w:hAnsi="Times New Roman" w:cs="Times New Roman"/>
          <w:sz w:val="24"/>
          <w:szCs w:val="24"/>
        </w:rPr>
        <w:t>investment horizon</w:t>
      </w:r>
      <w:r w:rsidR="00B02002">
        <w:rPr>
          <w:rFonts w:ascii="Times New Roman" w:hAnsi="Times New Roman" w:cs="Times New Roman"/>
          <w:sz w:val="24"/>
          <w:szCs w:val="24"/>
        </w:rPr>
        <w:t xml:space="preserve">. If </w:t>
      </w:r>
      <w:r w:rsidR="00B02002" w:rsidRPr="00B02002">
        <w:rPr>
          <w:rFonts w:ascii="Times New Roman" w:hAnsi="Times New Roman" w:cs="Times New Roman"/>
          <w:sz w:val="24"/>
          <w:szCs w:val="24"/>
        </w:rPr>
        <w:t>the average annual return o</w:t>
      </w:r>
      <w:r w:rsidR="00B02002">
        <w:rPr>
          <w:rFonts w:ascii="Times New Roman" w:hAnsi="Times New Roman" w:cs="Times New Roman"/>
          <w:sz w:val="24"/>
          <w:szCs w:val="24"/>
        </w:rPr>
        <w:t>n mutual funds was 3.88</w:t>
      </w:r>
      <w:r w:rsidR="00B02002" w:rsidRPr="00B02002">
        <w:rPr>
          <w:rFonts w:ascii="Times New Roman" w:hAnsi="Times New Roman" w:cs="Times New Roman"/>
          <w:sz w:val="24"/>
          <w:szCs w:val="24"/>
        </w:rPr>
        <w:t>% on an long term investment (</w:t>
      </w:r>
      <w:r w:rsidR="00B02002">
        <w:rPr>
          <w:rFonts w:ascii="Times New Roman" w:hAnsi="Times New Roman" w:cs="Times New Roman"/>
          <w:sz w:val="24"/>
          <w:szCs w:val="24"/>
        </w:rPr>
        <w:t>8 years)</w:t>
      </w:r>
      <w:r w:rsidR="00B02002" w:rsidRPr="00B02002">
        <w:rPr>
          <w:rFonts w:ascii="Times New Roman" w:hAnsi="Times New Roman" w:cs="Times New Roman"/>
          <w:sz w:val="24"/>
          <w:szCs w:val="24"/>
        </w:rPr>
        <w:t xml:space="preserve">, bond funds had to remunerate </w:t>
      </w:r>
      <w:r w:rsidR="00B02002">
        <w:rPr>
          <w:rFonts w:ascii="Times New Roman" w:hAnsi="Times New Roman" w:cs="Times New Roman"/>
          <w:sz w:val="24"/>
          <w:szCs w:val="24"/>
        </w:rPr>
        <w:t xml:space="preserve">the </w:t>
      </w:r>
      <w:r w:rsidR="00B02002" w:rsidRPr="00B02002">
        <w:rPr>
          <w:rFonts w:ascii="Times New Roman" w:hAnsi="Times New Roman" w:cs="Times New Roman"/>
          <w:sz w:val="24"/>
          <w:szCs w:val="24"/>
        </w:rPr>
        <w:t>subs</w:t>
      </w:r>
      <w:r w:rsidR="00B02002">
        <w:rPr>
          <w:rFonts w:ascii="Times New Roman" w:hAnsi="Times New Roman" w:cs="Times New Roman"/>
          <w:sz w:val="24"/>
          <w:szCs w:val="24"/>
        </w:rPr>
        <w:t>cribtion to these instruments at 6.91%</w:t>
      </w:r>
      <w:r w:rsidR="00B02002" w:rsidRPr="00B02002">
        <w:rPr>
          <w:rFonts w:ascii="Times New Roman" w:hAnsi="Times New Roman" w:cs="Times New Roman"/>
          <w:sz w:val="24"/>
          <w:szCs w:val="24"/>
        </w:rPr>
        <w:t xml:space="preserve">. The same positive spread </w:t>
      </w:r>
      <w:r w:rsidR="00B02002">
        <w:rPr>
          <w:rFonts w:ascii="Times New Roman" w:hAnsi="Times New Roman" w:cs="Times New Roman"/>
          <w:sz w:val="24"/>
          <w:szCs w:val="24"/>
        </w:rPr>
        <w:t>has been</w:t>
      </w:r>
      <w:r w:rsidR="00B02002" w:rsidRPr="00B02002">
        <w:rPr>
          <w:rFonts w:ascii="Times New Roman" w:hAnsi="Times New Roman" w:cs="Times New Roman"/>
          <w:sz w:val="24"/>
          <w:szCs w:val="24"/>
        </w:rPr>
        <w:t xml:space="preserve"> proposed </w:t>
      </w:r>
      <w:r w:rsidR="00B02002">
        <w:rPr>
          <w:rFonts w:ascii="Times New Roman" w:hAnsi="Times New Roman" w:cs="Times New Roman"/>
          <w:sz w:val="24"/>
          <w:szCs w:val="24"/>
        </w:rPr>
        <w:t xml:space="preserve">by </w:t>
      </w:r>
      <w:r w:rsidR="00B02002" w:rsidRPr="00B02002">
        <w:rPr>
          <w:rFonts w:ascii="Times New Roman" w:hAnsi="Times New Roman" w:cs="Times New Roman"/>
          <w:sz w:val="24"/>
          <w:szCs w:val="24"/>
        </w:rPr>
        <w:t xml:space="preserve">medium-term and short </w:t>
      </w:r>
      <w:r w:rsidR="00B02002">
        <w:rPr>
          <w:rFonts w:ascii="Times New Roman" w:hAnsi="Times New Roman" w:cs="Times New Roman"/>
          <w:sz w:val="24"/>
          <w:szCs w:val="24"/>
        </w:rPr>
        <w:t xml:space="preserve">term, with </w:t>
      </w:r>
      <w:r w:rsidR="00B02002" w:rsidRPr="00B02002">
        <w:rPr>
          <w:rFonts w:ascii="Times New Roman" w:hAnsi="Times New Roman" w:cs="Times New Roman"/>
          <w:sz w:val="24"/>
          <w:szCs w:val="24"/>
        </w:rPr>
        <w:t xml:space="preserve">an annual average </w:t>
      </w:r>
      <w:r w:rsidR="00B02002">
        <w:rPr>
          <w:rFonts w:ascii="Times New Roman" w:hAnsi="Times New Roman" w:cs="Times New Roman"/>
          <w:sz w:val="24"/>
          <w:szCs w:val="24"/>
        </w:rPr>
        <w:t>rate of return of 7.16</w:t>
      </w:r>
      <w:r w:rsidR="00B02002" w:rsidRPr="00B02002">
        <w:rPr>
          <w:rFonts w:ascii="Times New Roman" w:hAnsi="Times New Roman" w:cs="Times New Roman"/>
          <w:sz w:val="24"/>
          <w:szCs w:val="24"/>
        </w:rPr>
        <w:t xml:space="preserve">% </w:t>
      </w:r>
      <w:r w:rsidR="00B02002">
        <w:rPr>
          <w:rFonts w:ascii="Times New Roman" w:hAnsi="Times New Roman" w:cs="Times New Roman"/>
          <w:sz w:val="24"/>
          <w:szCs w:val="24"/>
        </w:rPr>
        <w:t>(5 years investment), of 5.86 % (</w:t>
      </w:r>
      <w:r w:rsidR="00B02002" w:rsidRPr="00B02002">
        <w:rPr>
          <w:rFonts w:ascii="Times New Roman" w:hAnsi="Times New Roman" w:cs="Times New Roman"/>
          <w:sz w:val="24"/>
          <w:szCs w:val="24"/>
        </w:rPr>
        <w:t>3 years</w:t>
      </w:r>
      <w:r w:rsidR="00B02002">
        <w:rPr>
          <w:rFonts w:ascii="Times New Roman" w:hAnsi="Times New Roman" w:cs="Times New Roman"/>
          <w:sz w:val="24"/>
          <w:szCs w:val="24"/>
        </w:rPr>
        <w:t xml:space="preserve"> </w:t>
      </w:r>
      <w:r w:rsidR="00B02002" w:rsidRPr="00B02002">
        <w:rPr>
          <w:rFonts w:ascii="Times New Roman" w:hAnsi="Times New Roman" w:cs="Times New Roman"/>
          <w:sz w:val="24"/>
          <w:szCs w:val="24"/>
        </w:rPr>
        <w:t>investment</w:t>
      </w:r>
      <w:r w:rsidR="00B02002">
        <w:rPr>
          <w:rFonts w:ascii="Times New Roman" w:hAnsi="Times New Roman" w:cs="Times New Roman"/>
          <w:sz w:val="24"/>
          <w:szCs w:val="24"/>
        </w:rPr>
        <w:t>) and 5.43% (for the last year 2014)</w:t>
      </w:r>
      <w:r w:rsidR="00B02002" w:rsidRPr="00B02002">
        <w:rPr>
          <w:rFonts w:ascii="Times New Roman" w:hAnsi="Times New Roman" w:cs="Times New Roman"/>
          <w:sz w:val="24"/>
          <w:szCs w:val="24"/>
        </w:rPr>
        <w:t xml:space="preserve">, higher </w:t>
      </w:r>
      <w:r w:rsidR="00B02002">
        <w:rPr>
          <w:rFonts w:ascii="Times New Roman" w:hAnsi="Times New Roman" w:cs="Times New Roman"/>
          <w:sz w:val="24"/>
          <w:szCs w:val="24"/>
        </w:rPr>
        <w:t xml:space="preserve">than the </w:t>
      </w:r>
      <w:r w:rsidR="00B02002" w:rsidRPr="00B02002">
        <w:rPr>
          <w:rFonts w:ascii="Times New Roman" w:hAnsi="Times New Roman" w:cs="Times New Roman"/>
          <w:sz w:val="24"/>
          <w:szCs w:val="24"/>
        </w:rPr>
        <w:t>suggested</w:t>
      </w:r>
      <w:r w:rsidR="00B02002">
        <w:rPr>
          <w:rFonts w:ascii="Times New Roman" w:hAnsi="Times New Roman" w:cs="Times New Roman"/>
          <w:sz w:val="24"/>
          <w:szCs w:val="24"/>
        </w:rPr>
        <w:t xml:space="preserve"> </w:t>
      </w:r>
      <w:r w:rsidR="00B02002" w:rsidRPr="00B02002">
        <w:rPr>
          <w:rFonts w:ascii="Times New Roman" w:hAnsi="Times New Roman" w:cs="Times New Roman"/>
          <w:sz w:val="24"/>
          <w:szCs w:val="24"/>
        </w:rPr>
        <w:t xml:space="preserve">rate </w:t>
      </w:r>
      <w:r w:rsidR="00B02002">
        <w:rPr>
          <w:rFonts w:ascii="Times New Roman" w:hAnsi="Times New Roman" w:cs="Times New Roman"/>
          <w:sz w:val="24"/>
          <w:szCs w:val="24"/>
        </w:rPr>
        <w:t>of</w:t>
      </w:r>
      <w:r w:rsidR="00B02002" w:rsidRPr="00B02002">
        <w:rPr>
          <w:rFonts w:ascii="Times New Roman" w:hAnsi="Times New Roman" w:cs="Times New Roman"/>
          <w:sz w:val="24"/>
          <w:szCs w:val="24"/>
        </w:rPr>
        <w:t xml:space="preserve"> other col</w:t>
      </w:r>
      <w:r w:rsidR="00B02002">
        <w:rPr>
          <w:rFonts w:ascii="Times New Roman" w:hAnsi="Times New Roman" w:cs="Times New Roman"/>
          <w:sz w:val="24"/>
          <w:szCs w:val="24"/>
        </w:rPr>
        <w:t>lective investment undertakings</w:t>
      </w:r>
      <w:r w:rsidR="00B02002" w:rsidRPr="00B02002">
        <w:rPr>
          <w:rFonts w:ascii="Times New Roman" w:hAnsi="Times New Roman" w:cs="Times New Roman"/>
          <w:sz w:val="24"/>
          <w:szCs w:val="24"/>
        </w:rPr>
        <w:t xml:space="preserve">, </w:t>
      </w:r>
      <w:r w:rsidR="00B02002">
        <w:rPr>
          <w:rFonts w:ascii="Times New Roman" w:hAnsi="Times New Roman" w:cs="Times New Roman"/>
          <w:sz w:val="24"/>
          <w:szCs w:val="24"/>
        </w:rPr>
        <w:t xml:space="preserve">all </w:t>
      </w:r>
      <w:r w:rsidR="00B02002" w:rsidRPr="00B02002">
        <w:rPr>
          <w:rFonts w:ascii="Times New Roman" w:hAnsi="Times New Roman" w:cs="Times New Roman"/>
          <w:sz w:val="24"/>
          <w:szCs w:val="24"/>
        </w:rPr>
        <w:t>surpassing even</w:t>
      </w:r>
      <w:r w:rsidR="00B02002">
        <w:rPr>
          <w:rFonts w:ascii="Times New Roman" w:hAnsi="Times New Roman" w:cs="Times New Roman"/>
          <w:sz w:val="24"/>
          <w:szCs w:val="24"/>
        </w:rPr>
        <w:t xml:space="preserve"> the</w:t>
      </w:r>
      <w:r w:rsidR="00B02002" w:rsidRPr="00B02002">
        <w:rPr>
          <w:rFonts w:ascii="Times New Roman" w:hAnsi="Times New Roman" w:cs="Times New Roman"/>
          <w:sz w:val="24"/>
          <w:szCs w:val="24"/>
        </w:rPr>
        <w:t xml:space="preserve"> remunerative rate of the tradit</w:t>
      </w:r>
      <w:r w:rsidR="00B02002">
        <w:rPr>
          <w:rFonts w:ascii="Times New Roman" w:hAnsi="Times New Roman" w:cs="Times New Roman"/>
          <w:sz w:val="24"/>
          <w:szCs w:val="24"/>
        </w:rPr>
        <w:t>ional bank deposits of 2.90 % (2014)</w:t>
      </w:r>
      <w:r w:rsidR="00B02002" w:rsidRPr="00B02002">
        <w:rPr>
          <w:rFonts w:ascii="Times New Roman" w:hAnsi="Times New Roman" w:cs="Times New Roman"/>
          <w:sz w:val="24"/>
          <w:szCs w:val="24"/>
        </w:rPr>
        <w:t>.</w:t>
      </w:r>
      <w:r w:rsidR="00B02002">
        <w:rPr>
          <w:rFonts w:ascii="Times New Roman" w:hAnsi="Times New Roman" w:cs="Times New Roman"/>
          <w:sz w:val="24"/>
          <w:szCs w:val="24"/>
        </w:rPr>
        <w:t xml:space="preserve"> </w:t>
      </w:r>
      <w:r w:rsidR="00B02002" w:rsidRPr="00B02002">
        <w:rPr>
          <w:rFonts w:ascii="Times New Roman" w:hAnsi="Times New Roman" w:cs="Times New Roman"/>
          <w:sz w:val="24"/>
          <w:szCs w:val="24"/>
        </w:rPr>
        <w:t xml:space="preserve">Thus, we find that for bond funds </w:t>
      </w:r>
      <w:r w:rsidR="00B02002">
        <w:rPr>
          <w:rFonts w:ascii="Times New Roman" w:hAnsi="Times New Roman" w:cs="Times New Roman"/>
          <w:sz w:val="24"/>
          <w:szCs w:val="24"/>
        </w:rPr>
        <w:t xml:space="preserve">the </w:t>
      </w:r>
      <w:r w:rsidR="00B02002" w:rsidRPr="00B02002">
        <w:rPr>
          <w:rFonts w:ascii="Times New Roman" w:hAnsi="Times New Roman" w:cs="Times New Roman"/>
          <w:sz w:val="24"/>
          <w:szCs w:val="24"/>
        </w:rPr>
        <w:t xml:space="preserve">most attractive yields </w:t>
      </w:r>
      <w:r w:rsidR="00B02002">
        <w:rPr>
          <w:rFonts w:ascii="Times New Roman" w:hAnsi="Times New Roman" w:cs="Times New Roman"/>
          <w:sz w:val="24"/>
          <w:szCs w:val="24"/>
        </w:rPr>
        <w:t xml:space="preserve">(see </w:t>
      </w:r>
      <w:r w:rsidR="00B02002" w:rsidRPr="00B02002">
        <w:rPr>
          <w:rFonts w:ascii="Times New Roman" w:hAnsi="Times New Roman" w:cs="Times New Roman"/>
          <w:sz w:val="24"/>
          <w:szCs w:val="24"/>
        </w:rPr>
        <w:t>Table 3.5</w:t>
      </w:r>
      <w:r w:rsidR="00B02002">
        <w:rPr>
          <w:rFonts w:ascii="Times New Roman" w:hAnsi="Times New Roman" w:cs="Times New Roman"/>
          <w:sz w:val="24"/>
          <w:szCs w:val="24"/>
        </w:rPr>
        <w:t>)</w:t>
      </w:r>
      <w:r w:rsidR="00B02002" w:rsidRPr="00B02002">
        <w:rPr>
          <w:rFonts w:ascii="Times New Roman" w:hAnsi="Times New Roman" w:cs="Times New Roman"/>
          <w:sz w:val="24"/>
          <w:szCs w:val="24"/>
        </w:rPr>
        <w:t xml:space="preserve"> </w:t>
      </w:r>
      <w:r w:rsidR="00B02002">
        <w:rPr>
          <w:rFonts w:ascii="Times New Roman" w:hAnsi="Times New Roman" w:cs="Times New Roman"/>
          <w:sz w:val="24"/>
          <w:szCs w:val="24"/>
        </w:rPr>
        <w:t>were generated by Horizon funds</w:t>
      </w:r>
      <w:r w:rsidR="00B02002" w:rsidRPr="00B02002">
        <w:rPr>
          <w:rFonts w:ascii="Times New Roman" w:hAnsi="Times New Roman" w:cs="Times New Roman"/>
          <w:sz w:val="24"/>
          <w:szCs w:val="24"/>
        </w:rPr>
        <w:t>, OTP Bonds and BCR Clasic for long-term investments (</w:t>
      </w:r>
      <w:r w:rsidR="00B02002">
        <w:rPr>
          <w:rFonts w:ascii="Times New Roman" w:hAnsi="Times New Roman" w:cs="Times New Roman"/>
          <w:sz w:val="24"/>
          <w:szCs w:val="24"/>
        </w:rPr>
        <w:t>8 years)</w:t>
      </w:r>
      <w:r w:rsidR="00B02002" w:rsidRPr="00B02002">
        <w:rPr>
          <w:rFonts w:ascii="Times New Roman" w:hAnsi="Times New Roman" w:cs="Times New Roman"/>
          <w:sz w:val="24"/>
          <w:szCs w:val="24"/>
        </w:rPr>
        <w:t xml:space="preserve">. Zepter Bonds and Raiffeisen Benefit supplement </w:t>
      </w:r>
      <w:r w:rsidR="00B02002">
        <w:rPr>
          <w:rFonts w:ascii="Times New Roman" w:hAnsi="Times New Roman" w:cs="Times New Roman"/>
          <w:sz w:val="24"/>
          <w:szCs w:val="24"/>
        </w:rPr>
        <w:t>the</w:t>
      </w:r>
      <w:r w:rsidR="00B02002" w:rsidRPr="00B02002">
        <w:rPr>
          <w:rFonts w:ascii="Times New Roman" w:hAnsi="Times New Roman" w:cs="Times New Roman"/>
          <w:sz w:val="24"/>
          <w:szCs w:val="24"/>
        </w:rPr>
        <w:t xml:space="preserve"> performing funds </w:t>
      </w:r>
      <w:r w:rsidR="00243D64">
        <w:rPr>
          <w:rFonts w:ascii="Times New Roman" w:hAnsi="Times New Roman" w:cs="Times New Roman"/>
          <w:sz w:val="24"/>
          <w:szCs w:val="24"/>
        </w:rPr>
        <w:t xml:space="preserve">with an </w:t>
      </w:r>
      <w:r w:rsidR="00243D64" w:rsidRPr="00B02002">
        <w:rPr>
          <w:rFonts w:ascii="Times New Roman" w:hAnsi="Times New Roman" w:cs="Times New Roman"/>
          <w:sz w:val="24"/>
          <w:szCs w:val="24"/>
        </w:rPr>
        <w:t>average annual return</w:t>
      </w:r>
      <w:r w:rsidR="00B02002" w:rsidRPr="00B02002">
        <w:rPr>
          <w:rFonts w:ascii="Times New Roman" w:hAnsi="Times New Roman" w:cs="Times New Roman"/>
          <w:sz w:val="24"/>
          <w:szCs w:val="24"/>
        </w:rPr>
        <w:t xml:space="preserve"> of about 10% for 5 years</w:t>
      </w:r>
      <w:r w:rsidR="00B02002">
        <w:rPr>
          <w:rFonts w:ascii="Times New Roman" w:hAnsi="Times New Roman" w:cs="Times New Roman"/>
          <w:sz w:val="24"/>
          <w:szCs w:val="24"/>
        </w:rPr>
        <w:t xml:space="preserve"> </w:t>
      </w:r>
      <w:r w:rsidR="00B02002" w:rsidRPr="00B02002">
        <w:rPr>
          <w:rFonts w:ascii="Times New Roman" w:hAnsi="Times New Roman" w:cs="Times New Roman"/>
          <w:sz w:val="24"/>
          <w:szCs w:val="24"/>
        </w:rPr>
        <w:t>investments.</w:t>
      </w:r>
    </w:p>
    <w:p w:rsidR="0019180E" w:rsidRPr="008F00C9" w:rsidRDefault="0019180E" w:rsidP="004916E9">
      <w:pPr>
        <w:pStyle w:val="Caption"/>
        <w:spacing w:before="0" w:beforeAutospacing="0" w:after="0" w:afterAutospacing="0"/>
        <w:jc w:val="center"/>
        <w:rPr>
          <w:b/>
        </w:rPr>
      </w:pPr>
      <w:bookmarkStart w:id="23" w:name="_Toc449385151"/>
      <w:r w:rsidRPr="008F00C9">
        <w:rPr>
          <w:b/>
        </w:rPr>
        <w:t>Tab</w:t>
      </w:r>
      <w:r w:rsidR="00B02002">
        <w:rPr>
          <w:b/>
        </w:rPr>
        <w:t xml:space="preserve">le </w:t>
      </w:r>
      <w:r w:rsidRPr="008F00C9">
        <w:rPr>
          <w:b/>
        </w:rPr>
        <w:t xml:space="preserve">3. </w:t>
      </w:r>
      <w:r w:rsidR="004B4616" w:rsidRPr="008F00C9">
        <w:rPr>
          <w:b/>
        </w:rPr>
        <w:fldChar w:fldCharType="begin"/>
      </w:r>
      <w:r w:rsidRPr="008F00C9">
        <w:rPr>
          <w:b/>
        </w:rPr>
        <w:instrText xml:space="preserve"> SEQ Tabel_3. \* ARABIC </w:instrText>
      </w:r>
      <w:r w:rsidR="004B4616" w:rsidRPr="008F00C9">
        <w:rPr>
          <w:b/>
        </w:rPr>
        <w:fldChar w:fldCharType="separate"/>
      </w:r>
      <w:r w:rsidR="00695698" w:rsidRPr="008F00C9">
        <w:rPr>
          <w:b/>
          <w:noProof/>
        </w:rPr>
        <w:t>5</w:t>
      </w:r>
      <w:r w:rsidR="004B4616" w:rsidRPr="008F00C9">
        <w:rPr>
          <w:b/>
        </w:rPr>
        <w:fldChar w:fldCharType="end"/>
      </w:r>
      <w:r w:rsidRPr="008F00C9">
        <w:rPr>
          <w:b/>
        </w:rPr>
        <w:t xml:space="preserve"> </w:t>
      </w:r>
      <w:r w:rsidR="00B02002">
        <w:rPr>
          <w:b/>
        </w:rPr>
        <w:t>FDO performances in Romania,</w:t>
      </w:r>
      <w:r w:rsidRPr="008F00C9">
        <w:rPr>
          <w:b/>
        </w:rPr>
        <w:t xml:space="preserve"> 2007-2014</w:t>
      </w:r>
      <w:bookmarkEnd w:id="23"/>
    </w:p>
    <w:p w:rsidR="0019180E" w:rsidRPr="008F00C9" w:rsidRDefault="0019180E" w:rsidP="004916E9">
      <w:pPr>
        <w:spacing w:after="0" w:line="240" w:lineRule="auto"/>
        <w:jc w:val="center"/>
        <w:rPr>
          <w:rFonts w:ascii="Times New Roman" w:hAnsi="Times New Roman" w:cs="Times New Roman"/>
          <w:sz w:val="24"/>
          <w:szCs w:val="24"/>
        </w:rPr>
      </w:pPr>
      <w:r w:rsidRPr="008F00C9">
        <w:rPr>
          <w:noProof/>
          <w:szCs w:val="24"/>
        </w:rPr>
        <w:drawing>
          <wp:inline distT="0" distB="0" distL="0" distR="0">
            <wp:extent cx="5732145" cy="2343150"/>
            <wp:effectExtent l="19050" t="0" r="1905" b="0"/>
            <wp:docPr id="106"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1"/>
                    <a:srcRect/>
                    <a:stretch>
                      <a:fillRect/>
                    </a:stretch>
                  </pic:blipFill>
                  <pic:spPr bwMode="auto">
                    <a:xfrm>
                      <a:off x="0" y="0"/>
                      <a:ext cx="5732145" cy="2343150"/>
                    </a:xfrm>
                    <a:prstGeom prst="rect">
                      <a:avLst/>
                    </a:prstGeom>
                    <a:noFill/>
                    <a:ln w="9525">
                      <a:noFill/>
                      <a:miter lim="800000"/>
                      <a:headEnd/>
                      <a:tailEnd/>
                    </a:ln>
                  </pic:spPr>
                </pic:pic>
              </a:graphicData>
            </a:graphic>
          </wp:inline>
        </w:drawing>
      </w:r>
    </w:p>
    <w:p w:rsidR="0019180E" w:rsidRPr="008F00C9" w:rsidRDefault="00F73270" w:rsidP="004916E9">
      <w:pPr>
        <w:spacing w:line="240" w:lineRule="auto"/>
        <w:jc w:val="center"/>
        <w:rPr>
          <w:rFonts w:ascii="Times New Roman" w:hAnsi="Times New Roman" w:cs="Times New Roman"/>
          <w:sz w:val="24"/>
          <w:szCs w:val="24"/>
        </w:rPr>
      </w:pPr>
      <w:r>
        <w:rPr>
          <w:rFonts w:ascii="Times New Roman" w:hAnsi="Times New Roman" w:cs="Times New Roman"/>
          <w:sz w:val="24"/>
          <w:szCs w:val="24"/>
        </w:rPr>
        <w:t>Source</w:t>
      </w:r>
      <w:r w:rsidR="0019180E" w:rsidRPr="008F00C9">
        <w:rPr>
          <w:rFonts w:ascii="Times New Roman" w:hAnsi="Times New Roman" w:cs="Times New Roman"/>
          <w:sz w:val="24"/>
          <w:szCs w:val="24"/>
        </w:rPr>
        <w:t xml:space="preserve">: </w:t>
      </w:r>
      <w:r>
        <w:rPr>
          <w:rFonts w:ascii="Times New Roman" w:hAnsi="Times New Roman" w:cs="Times New Roman"/>
          <w:sz w:val="24"/>
          <w:szCs w:val="24"/>
        </w:rPr>
        <w:t>author’s own processing using</w:t>
      </w:r>
      <w:r w:rsidR="0019180E" w:rsidRPr="008F00C9">
        <w:rPr>
          <w:rFonts w:ascii="Times New Roman" w:hAnsi="Times New Roman" w:cs="Times New Roman"/>
          <w:sz w:val="24"/>
          <w:szCs w:val="24"/>
        </w:rPr>
        <w:t xml:space="preserve"> AAF</w:t>
      </w:r>
      <w:r>
        <w:rPr>
          <w:rFonts w:ascii="Times New Roman" w:hAnsi="Times New Roman" w:cs="Times New Roman"/>
          <w:sz w:val="24"/>
          <w:szCs w:val="24"/>
        </w:rPr>
        <w:t xml:space="preserve"> statistics</w:t>
      </w:r>
    </w:p>
    <w:p w:rsidR="00B02002" w:rsidRDefault="00B02002" w:rsidP="004916E9">
      <w:pPr>
        <w:spacing w:line="240" w:lineRule="auto"/>
        <w:jc w:val="both"/>
        <w:rPr>
          <w:rFonts w:ascii="Times New Roman" w:hAnsi="Times New Roman" w:cs="Times New Roman"/>
          <w:sz w:val="24"/>
          <w:szCs w:val="24"/>
        </w:rPr>
      </w:pPr>
      <w:r w:rsidRPr="00B02002">
        <w:rPr>
          <w:rFonts w:ascii="Times New Roman" w:hAnsi="Times New Roman" w:cs="Times New Roman"/>
          <w:sz w:val="24"/>
          <w:szCs w:val="24"/>
        </w:rPr>
        <w:t>Bond funds show a strong correlatio</w:t>
      </w:r>
      <w:r>
        <w:rPr>
          <w:rFonts w:ascii="Times New Roman" w:hAnsi="Times New Roman" w:cs="Times New Roman"/>
          <w:sz w:val="24"/>
          <w:szCs w:val="24"/>
        </w:rPr>
        <w:t>n to money market instruments (</w:t>
      </w:r>
      <w:r w:rsidRPr="00B02002">
        <w:rPr>
          <w:rFonts w:ascii="Times New Roman" w:hAnsi="Times New Roman" w:cs="Times New Roman"/>
          <w:sz w:val="24"/>
          <w:szCs w:val="24"/>
        </w:rPr>
        <w:t>coupon</w:t>
      </w:r>
      <w:r>
        <w:rPr>
          <w:rFonts w:ascii="Times New Roman" w:hAnsi="Times New Roman" w:cs="Times New Roman"/>
          <w:sz w:val="24"/>
          <w:szCs w:val="24"/>
        </w:rPr>
        <w:t xml:space="preserve"> rate</w:t>
      </w:r>
      <w:r w:rsidRPr="00B02002">
        <w:rPr>
          <w:rFonts w:ascii="Times New Roman" w:hAnsi="Times New Roman" w:cs="Times New Roman"/>
          <w:sz w:val="24"/>
          <w:szCs w:val="24"/>
        </w:rPr>
        <w:t xml:space="preserve"> </w:t>
      </w:r>
      <w:r>
        <w:rPr>
          <w:rFonts w:ascii="Times New Roman" w:hAnsi="Times New Roman" w:cs="Times New Roman"/>
          <w:sz w:val="24"/>
          <w:szCs w:val="24"/>
        </w:rPr>
        <w:t>of government bonds</w:t>
      </w:r>
      <w:r w:rsidRPr="00B02002">
        <w:rPr>
          <w:rFonts w:ascii="Times New Roman" w:hAnsi="Times New Roman" w:cs="Times New Roman"/>
          <w:sz w:val="24"/>
          <w:szCs w:val="24"/>
        </w:rPr>
        <w:t>, the attributed rate</w:t>
      </w:r>
      <w:r>
        <w:rPr>
          <w:rFonts w:ascii="Times New Roman" w:hAnsi="Times New Roman" w:cs="Times New Roman"/>
          <w:sz w:val="24"/>
          <w:szCs w:val="24"/>
        </w:rPr>
        <w:t xml:space="preserve"> for </w:t>
      </w:r>
      <w:r w:rsidRPr="00B02002">
        <w:rPr>
          <w:rFonts w:ascii="Times New Roman" w:hAnsi="Times New Roman" w:cs="Times New Roman"/>
          <w:sz w:val="24"/>
          <w:szCs w:val="24"/>
        </w:rPr>
        <w:t xml:space="preserve">treasury bills </w:t>
      </w:r>
      <w:r>
        <w:rPr>
          <w:rFonts w:ascii="Times New Roman" w:hAnsi="Times New Roman" w:cs="Times New Roman"/>
          <w:sz w:val="24"/>
          <w:szCs w:val="24"/>
        </w:rPr>
        <w:t>and the rate for bank deposits) (Table 3.6)</w:t>
      </w:r>
      <w:r w:rsidRPr="00B02002">
        <w:rPr>
          <w:rFonts w:ascii="Times New Roman" w:hAnsi="Times New Roman" w:cs="Times New Roman"/>
          <w:sz w:val="24"/>
          <w:szCs w:val="24"/>
        </w:rPr>
        <w:t xml:space="preserve">, for which </w:t>
      </w:r>
      <w:r>
        <w:rPr>
          <w:rFonts w:ascii="Times New Roman" w:hAnsi="Times New Roman" w:cs="Times New Roman"/>
          <w:sz w:val="24"/>
          <w:szCs w:val="24"/>
        </w:rPr>
        <w:lastRenderedPageBreak/>
        <w:t>the</w:t>
      </w:r>
      <w:r w:rsidRPr="00B02002">
        <w:rPr>
          <w:rFonts w:ascii="Times New Roman" w:hAnsi="Times New Roman" w:cs="Times New Roman"/>
          <w:sz w:val="24"/>
          <w:szCs w:val="24"/>
        </w:rPr>
        <w:t xml:space="preserve"> performance is in excess of 80 % of these rates. Recognized as</w:t>
      </w:r>
      <w:r>
        <w:rPr>
          <w:rFonts w:ascii="Times New Roman" w:hAnsi="Times New Roman" w:cs="Times New Roman"/>
          <w:sz w:val="24"/>
          <w:szCs w:val="24"/>
        </w:rPr>
        <w:t xml:space="preserve"> fixed income</w:t>
      </w:r>
      <w:r w:rsidRPr="00B02002">
        <w:rPr>
          <w:rFonts w:ascii="Times New Roman" w:hAnsi="Times New Roman" w:cs="Times New Roman"/>
          <w:sz w:val="24"/>
          <w:szCs w:val="24"/>
        </w:rPr>
        <w:t xml:space="preserve"> investment instruments, </w:t>
      </w:r>
      <w:r>
        <w:rPr>
          <w:rFonts w:ascii="Times New Roman" w:hAnsi="Times New Roman" w:cs="Times New Roman"/>
          <w:sz w:val="24"/>
          <w:szCs w:val="24"/>
        </w:rPr>
        <w:t>bond funds give</w:t>
      </w:r>
      <w:r w:rsidRPr="00B02002">
        <w:rPr>
          <w:rFonts w:ascii="Times New Roman" w:hAnsi="Times New Roman" w:cs="Times New Roman"/>
          <w:sz w:val="24"/>
          <w:szCs w:val="24"/>
        </w:rPr>
        <w:t xml:space="preserve"> better stability compared to equity funds and </w:t>
      </w:r>
      <w:r>
        <w:rPr>
          <w:rFonts w:ascii="Times New Roman" w:hAnsi="Times New Roman" w:cs="Times New Roman"/>
          <w:sz w:val="24"/>
          <w:szCs w:val="24"/>
        </w:rPr>
        <w:t>balanced ones</w:t>
      </w:r>
      <w:r w:rsidRPr="00B02002">
        <w:rPr>
          <w:rFonts w:ascii="Times New Roman" w:hAnsi="Times New Roman" w:cs="Times New Roman"/>
          <w:sz w:val="24"/>
          <w:szCs w:val="24"/>
        </w:rPr>
        <w:t>.</w:t>
      </w:r>
    </w:p>
    <w:p w:rsidR="0019180E" w:rsidRPr="008F00C9" w:rsidRDefault="0019180E" w:rsidP="004916E9">
      <w:pPr>
        <w:pStyle w:val="Caption"/>
        <w:spacing w:before="0" w:beforeAutospacing="0" w:after="0" w:afterAutospacing="0"/>
        <w:jc w:val="center"/>
        <w:rPr>
          <w:b/>
          <w:i/>
        </w:rPr>
      </w:pPr>
      <w:bookmarkStart w:id="24" w:name="_Toc449385152"/>
      <w:r w:rsidRPr="008F00C9">
        <w:rPr>
          <w:b/>
        </w:rPr>
        <w:t>Tab</w:t>
      </w:r>
      <w:r w:rsidR="00F73270">
        <w:rPr>
          <w:b/>
        </w:rPr>
        <w:t>le</w:t>
      </w:r>
      <w:r w:rsidRPr="008F00C9">
        <w:rPr>
          <w:b/>
        </w:rPr>
        <w:t xml:space="preserve"> 3. </w:t>
      </w:r>
      <w:r w:rsidR="004B4616" w:rsidRPr="008F00C9">
        <w:rPr>
          <w:b/>
        </w:rPr>
        <w:fldChar w:fldCharType="begin"/>
      </w:r>
      <w:r w:rsidRPr="008F00C9">
        <w:rPr>
          <w:b/>
        </w:rPr>
        <w:instrText xml:space="preserve"> SEQ Tabel_3. \* ARABIC </w:instrText>
      </w:r>
      <w:r w:rsidR="004B4616" w:rsidRPr="008F00C9">
        <w:rPr>
          <w:b/>
        </w:rPr>
        <w:fldChar w:fldCharType="separate"/>
      </w:r>
      <w:r w:rsidR="00695698" w:rsidRPr="008F00C9">
        <w:rPr>
          <w:b/>
          <w:noProof/>
        </w:rPr>
        <w:t>6</w:t>
      </w:r>
      <w:r w:rsidR="004B4616" w:rsidRPr="008F00C9">
        <w:rPr>
          <w:b/>
        </w:rPr>
        <w:fldChar w:fldCharType="end"/>
      </w:r>
      <w:r w:rsidRPr="008F00C9">
        <w:rPr>
          <w:b/>
        </w:rPr>
        <w:t xml:space="preserve"> </w:t>
      </w:r>
      <w:r w:rsidR="00243D64">
        <w:rPr>
          <w:b/>
        </w:rPr>
        <w:t>Determinants of FDO performance</w:t>
      </w:r>
      <w:bookmarkEnd w:id="24"/>
    </w:p>
    <w:tbl>
      <w:tblPr>
        <w:tblW w:w="0" w:type="auto"/>
        <w:jc w:val="center"/>
        <w:tblLook w:val="04A0"/>
      </w:tblPr>
      <w:tblGrid>
        <w:gridCol w:w="5329"/>
        <w:gridCol w:w="1243"/>
      </w:tblGrid>
      <w:tr w:rsidR="0019180E" w:rsidRPr="008F00C9" w:rsidTr="0019180E">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180E" w:rsidRPr="008F00C9" w:rsidRDefault="00243D64" w:rsidP="00243D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Correlation coefficients of </w:t>
            </w:r>
            <w:r w:rsidR="0019180E" w:rsidRPr="008F00C9">
              <w:rPr>
                <w:rFonts w:ascii="Times New Roman" w:eastAsia="Times New Roman" w:hAnsi="Times New Roman" w:cs="Times New Roman"/>
                <w:b/>
                <w:bCs/>
                <w:sz w:val="24"/>
                <w:szCs w:val="24"/>
              </w:rPr>
              <w:t xml:space="preserve">FDO </w:t>
            </w:r>
            <w:r>
              <w:rPr>
                <w:rFonts w:ascii="Times New Roman" w:eastAsia="Times New Roman" w:hAnsi="Times New Roman" w:cs="Times New Roman"/>
                <w:b/>
                <w:bCs/>
                <w:sz w:val="24"/>
                <w:szCs w:val="24"/>
              </w:rPr>
              <w:t>against indicators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180E" w:rsidRPr="008F00C9" w:rsidRDefault="0019180E" w:rsidP="004916E9">
            <w:pPr>
              <w:spacing w:after="0" w:line="240" w:lineRule="auto"/>
              <w:rPr>
                <w:rFonts w:ascii="Times New Roman" w:eastAsia="Times New Roman" w:hAnsi="Times New Roman" w:cs="Times New Roman"/>
                <w:b/>
                <w:bCs/>
                <w:sz w:val="24"/>
                <w:szCs w:val="24"/>
              </w:rPr>
            </w:pPr>
            <w:r w:rsidRPr="008F00C9">
              <w:rPr>
                <w:rFonts w:ascii="Times New Roman" w:eastAsia="Times New Roman" w:hAnsi="Times New Roman" w:cs="Times New Roman"/>
                <w:b/>
                <w:bCs/>
                <w:sz w:val="24"/>
                <w:szCs w:val="24"/>
              </w:rPr>
              <w:t>CORREL</w:t>
            </w:r>
          </w:p>
        </w:tc>
      </w:tr>
      <w:tr w:rsidR="0019180E" w:rsidRPr="008F00C9" w:rsidTr="0019180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9180E" w:rsidRPr="008F00C9" w:rsidRDefault="0019180E" w:rsidP="004916E9">
            <w:pPr>
              <w:spacing w:after="0" w:line="240" w:lineRule="auto"/>
              <w:rPr>
                <w:rFonts w:ascii="Times New Roman" w:eastAsia="Times New Roman" w:hAnsi="Times New Roman" w:cs="Times New Roman"/>
                <w:sz w:val="24"/>
                <w:szCs w:val="24"/>
              </w:rPr>
            </w:pPr>
            <w:r w:rsidRPr="008F00C9">
              <w:rPr>
                <w:rFonts w:ascii="Times New Roman" w:eastAsia="Times New Roman" w:hAnsi="Times New Roman" w:cs="Times New Roman"/>
                <w:sz w:val="24"/>
                <w:szCs w:val="24"/>
              </w:rPr>
              <w:t>Rata de remunerare a obligatiunilor guvernamentale</w:t>
            </w:r>
          </w:p>
        </w:tc>
        <w:tc>
          <w:tcPr>
            <w:tcW w:w="0" w:type="auto"/>
            <w:tcBorders>
              <w:top w:val="nil"/>
              <w:left w:val="nil"/>
              <w:bottom w:val="single" w:sz="4" w:space="0" w:color="auto"/>
              <w:right w:val="single" w:sz="4" w:space="0" w:color="auto"/>
            </w:tcBorders>
            <w:shd w:val="clear" w:color="auto" w:fill="auto"/>
            <w:noWrap/>
            <w:vAlign w:val="bottom"/>
            <w:hideMark/>
          </w:tcPr>
          <w:p w:rsidR="0019180E" w:rsidRPr="008F00C9" w:rsidRDefault="0019180E" w:rsidP="004916E9">
            <w:pPr>
              <w:spacing w:after="0" w:line="240" w:lineRule="auto"/>
              <w:jc w:val="right"/>
              <w:rPr>
                <w:rFonts w:ascii="Times New Roman" w:eastAsia="Times New Roman" w:hAnsi="Times New Roman" w:cs="Times New Roman"/>
                <w:sz w:val="24"/>
                <w:szCs w:val="24"/>
              </w:rPr>
            </w:pPr>
            <w:r w:rsidRPr="008F00C9">
              <w:rPr>
                <w:rFonts w:ascii="Times New Roman" w:eastAsia="Times New Roman" w:hAnsi="Times New Roman" w:cs="Times New Roman"/>
                <w:sz w:val="24"/>
                <w:szCs w:val="24"/>
              </w:rPr>
              <w:t>0.894915</w:t>
            </w:r>
          </w:p>
        </w:tc>
      </w:tr>
      <w:tr w:rsidR="0019180E" w:rsidRPr="008F00C9" w:rsidTr="0019180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9180E" w:rsidRPr="008F00C9" w:rsidRDefault="0019180E" w:rsidP="004916E9">
            <w:pPr>
              <w:spacing w:after="0" w:line="240" w:lineRule="auto"/>
              <w:rPr>
                <w:rFonts w:ascii="Times New Roman" w:eastAsia="Times New Roman" w:hAnsi="Times New Roman" w:cs="Times New Roman"/>
                <w:sz w:val="24"/>
                <w:szCs w:val="24"/>
              </w:rPr>
            </w:pPr>
            <w:r w:rsidRPr="008F00C9">
              <w:rPr>
                <w:rFonts w:ascii="Times New Roman" w:eastAsia="Times New Roman" w:hAnsi="Times New Roman" w:cs="Times New Roman"/>
                <w:sz w:val="24"/>
                <w:szCs w:val="24"/>
              </w:rPr>
              <w:t>Rata atribuita certificatelor de trezorerie</w:t>
            </w:r>
          </w:p>
        </w:tc>
        <w:tc>
          <w:tcPr>
            <w:tcW w:w="0" w:type="auto"/>
            <w:tcBorders>
              <w:top w:val="nil"/>
              <w:left w:val="nil"/>
              <w:bottom w:val="single" w:sz="4" w:space="0" w:color="auto"/>
              <w:right w:val="single" w:sz="4" w:space="0" w:color="auto"/>
            </w:tcBorders>
            <w:shd w:val="clear" w:color="auto" w:fill="auto"/>
            <w:noWrap/>
            <w:vAlign w:val="bottom"/>
            <w:hideMark/>
          </w:tcPr>
          <w:p w:rsidR="0019180E" w:rsidRPr="008F00C9" w:rsidRDefault="0019180E" w:rsidP="004916E9">
            <w:pPr>
              <w:spacing w:after="0" w:line="240" w:lineRule="auto"/>
              <w:jc w:val="right"/>
              <w:rPr>
                <w:rFonts w:ascii="Times New Roman" w:eastAsia="Times New Roman" w:hAnsi="Times New Roman" w:cs="Times New Roman"/>
                <w:sz w:val="24"/>
                <w:szCs w:val="24"/>
              </w:rPr>
            </w:pPr>
            <w:r w:rsidRPr="008F00C9">
              <w:rPr>
                <w:rFonts w:ascii="Times New Roman" w:eastAsia="Times New Roman" w:hAnsi="Times New Roman" w:cs="Times New Roman"/>
                <w:sz w:val="24"/>
                <w:szCs w:val="24"/>
              </w:rPr>
              <w:t>0.986529</w:t>
            </w:r>
          </w:p>
        </w:tc>
      </w:tr>
      <w:tr w:rsidR="0019180E" w:rsidRPr="008F00C9" w:rsidTr="0019180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9180E" w:rsidRPr="008F00C9" w:rsidRDefault="0019180E" w:rsidP="004916E9">
            <w:pPr>
              <w:spacing w:after="0" w:line="240" w:lineRule="auto"/>
              <w:rPr>
                <w:rFonts w:ascii="Times New Roman" w:eastAsia="Times New Roman" w:hAnsi="Times New Roman" w:cs="Times New Roman"/>
                <w:sz w:val="24"/>
                <w:szCs w:val="24"/>
              </w:rPr>
            </w:pPr>
            <w:r w:rsidRPr="008F00C9">
              <w:rPr>
                <w:rFonts w:ascii="Times New Roman" w:eastAsia="Times New Roman" w:hAnsi="Times New Roman" w:cs="Times New Roman"/>
                <w:sz w:val="24"/>
                <w:szCs w:val="24"/>
              </w:rPr>
              <w:t>Rata dobanzii bancare (12 luni)</w:t>
            </w:r>
          </w:p>
        </w:tc>
        <w:tc>
          <w:tcPr>
            <w:tcW w:w="0" w:type="auto"/>
            <w:tcBorders>
              <w:top w:val="nil"/>
              <w:left w:val="nil"/>
              <w:bottom w:val="single" w:sz="4" w:space="0" w:color="auto"/>
              <w:right w:val="single" w:sz="4" w:space="0" w:color="auto"/>
            </w:tcBorders>
            <w:shd w:val="clear" w:color="auto" w:fill="auto"/>
            <w:noWrap/>
            <w:vAlign w:val="bottom"/>
            <w:hideMark/>
          </w:tcPr>
          <w:p w:rsidR="0019180E" w:rsidRPr="008F00C9" w:rsidRDefault="0019180E" w:rsidP="004916E9">
            <w:pPr>
              <w:spacing w:after="0" w:line="240" w:lineRule="auto"/>
              <w:jc w:val="right"/>
              <w:rPr>
                <w:rFonts w:ascii="Times New Roman" w:eastAsia="Times New Roman" w:hAnsi="Times New Roman" w:cs="Times New Roman"/>
                <w:sz w:val="24"/>
                <w:szCs w:val="24"/>
              </w:rPr>
            </w:pPr>
            <w:r w:rsidRPr="008F00C9">
              <w:rPr>
                <w:rFonts w:ascii="Times New Roman" w:eastAsia="Times New Roman" w:hAnsi="Times New Roman" w:cs="Times New Roman"/>
                <w:sz w:val="24"/>
                <w:szCs w:val="24"/>
              </w:rPr>
              <w:t>0.955762</w:t>
            </w:r>
          </w:p>
        </w:tc>
      </w:tr>
      <w:tr w:rsidR="0019180E" w:rsidRPr="008F00C9" w:rsidTr="0019180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9180E" w:rsidRPr="008F00C9" w:rsidRDefault="0019180E" w:rsidP="004916E9">
            <w:pPr>
              <w:spacing w:after="0" w:line="240" w:lineRule="auto"/>
              <w:rPr>
                <w:rFonts w:ascii="Times New Roman" w:eastAsia="Times New Roman" w:hAnsi="Times New Roman" w:cs="Times New Roman"/>
                <w:sz w:val="24"/>
                <w:szCs w:val="24"/>
              </w:rPr>
            </w:pPr>
            <w:r w:rsidRPr="008F00C9">
              <w:rPr>
                <w:rFonts w:ascii="Times New Roman" w:eastAsia="Times New Roman" w:hAnsi="Times New Roman" w:cs="Times New Roman"/>
                <w:sz w:val="24"/>
                <w:szCs w:val="24"/>
              </w:rPr>
              <w:t>Variatia anuala BET (decN/decN-1)</w:t>
            </w:r>
          </w:p>
        </w:tc>
        <w:tc>
          <w:tcPr>
            <w:tcW w:w="0" w:type="auto"/>
            <w:tcBorders>
              <w:top w:val="nil"/>
              <w:left w:val="nil"/>
              <w:bottom w:val="single" w:sz="4" w:space="0" w:color="auto"/>
              <w:right w:val="single" w:sz="4" w:space="0" w:color="auto"/>
            </w:tcBorders>
            <w:shd w:val="clear" w:color="auto" w:fill="auto"/>
            <w:noWrap/>
            <w:vAlign w:val="bottom"/>
            <w:hideMark/>
          </w:tcPr>
          <w:p w:rsidR="0019180E" w:rsidRPr="008F00C9" w:rsidRDefault="0019180E" w:rsidP="004916E9">
            <w:pPr>
              <w:spacing w:after="0" w:line="240" w:lineRule="auto"/>
              <w:jc w:val="right"/>
              <w:rPr>
                <w:rFonts w:ascii="Times New Roman" w:eastAsia="Times New Roman" w:hAnsi="Times New Roman" w:cs="Times New Roman"/>
                <w:sz w:val="24"/>
                <w:szCs w:val="24"/>
              </w:rPr>
            </w:pPr>
            <w:r w:rsidRPr="008F00C9">
              <w:rPr>
                <w:rFonts w:ascii="Times New Roman" w:eastAsia="Times New Roman" w:hAnsi="Times New Roman" w:cs="Times New Roman"/>
                <w:sz w:val="24"/>
                <w:szCs w:val="24"/>
              </w:rPr>
              <w:t>-0.7628</w:t>
            </w:r>
          </w:p>
        </w:tc>
      </w:tr>
    </w:tbl>
    <w:p w:rsidR="0019180E" w:rsidRPr="008F00C9" w:rsidRDefault="00F73270" w:rsidP="004916E9">
      <w:pPr>
        <w:spacing w:line="240" w:lineRule="auto"/>
        <w:jc w:val="center"/>
        <w:rPr>
          <w:rFonts w:ascii="Times New Roman" w:hAnsi="Times New Roman" w:cs="Times New Roman"/>
          <w:sz w:val="24"/>
          <w:szCs w:val="24"/>
        </w:rPr>
      </w:pPr>
      <w:r>
        <w:rPr>
          <w:rFonts w:ascii="Times New Roman" w:hAnsi="Times New Roman" w:cs="Times New Roman"/>
          <w:sz w:val="24"/>
          <w:szCs w:val="24"/>
        </w:rPr>
        <w:t>Source</w:t>
      </w:r>
      <w:r w:rsidR="0019180E" w:rsidRPr="008F00C9">
        <w:rPr>
          <w:rFonts w:ascii="Times New Roman" w:hAnsi="Times New Roman" w:cs="Times New Roman"/>
          <w:sz w:val="24"/>
          <w:szCs w:val="24"/>
        </w:rPr>
        <w:t xml:space="preserve">: </w:t>
      </w:r>
      <w:r>
        <w:rPr>
          <w:rFonts w:ascii="Times New Roman" w:hAnsi="Times New Roman" w:cs="Times New Roman"/>
          <w:sz w:val="24"/>
          <w:szCs w:val="24"/>
        </w:rPr>
        <w:t>author’s own processing</w:t>
      </w:r>
    </w:p>
    <w:p w:rsidR="00F44B42" w:rsidRPr="00F44B42" w:rsidRDefault="00F44B42" w:rsidP="009910B9">
      <w:pPr>
        <w:pStyle w:val="HTMLPreformatted"/>
        <w:shd w:val="clear" w:color="auto" w:fill="FFFFFF"/>
        <w:spacing w:after="120"/>
        <w:jc w:val="both"/>
        <w:rPr>
          <w:rFonts w:ascii="Times New Roman" w:hAnsi="Times New Roman" w:cs="Times New Roman"/>
          <w:bCs/>
          <w:sz w:val="24"/>
          <w:szCs w:val="24"/>
        </w:rPr>
      </w:pPr>
      <w:r>
        <w:rPr>
          <w:rFonts w:ascii="Times New Roman" w:hAnsi="Times New Roman" w:cs="Times New Roman"/>
          <w:bCs/>
          <w:sz w:val="24"/>
          <w:szCs w:val="24"/>
        </w:rPr>
        <w:t>We note</w:t>
      </w:r>
      <w:r w:rsidRPr="00F44B42">
        <w:rPr>
          <w:rFonts w:ascii="Times New Roman" w:hAnsi="Times New Roman" w:cs="Times New Roman"/>
          <w:bCs/>
          <w:sz w:val="24"/>
          <w:szCs w:val="24"/>
        </w:rPr>
        <w:t>, however, that these funds are inversely cor</w:t>
      </w:r>
      <w:r w:rsidR="009910B9">
        <w:rPr>
          <w:rFonts w:ascii="Times New Roman" w:hAnsi="Times New Roman" w:cs="Times New Roman"/>
          <w:bCs/>
          <w:sz w:val="24"/>
          <w:szCs w:val="24"/>
        </w:rPr>
        <w:t>related with the stock market (</w:t>
      </w:r>
      <w:r w:rsidRPr="00F44B42">
        <w:rPr>
          <w:rFonts w:ascii="Times New Roman" w:hAnsi="Times New Roman" w:cs="Times New Roman"/>
          <w:bCs/>
          <w:sz w:val="24"/>
          <w:szCs w:val="24"/>
        </w:rPr>
        <w:t>corre</w:t>
      </w:r>
      <w:r w:rsidR="00243D64">
        <w:rPr>
          <w:rFonts w:ascii="Times New Roman" w:hAnsi="Times New Roman" w:cs="Times New Roman"/>
          <w:bCs/>
          <w:sz w:val="24"/>
          <w:szCs w:val="24"/>
        </w:rPr>
        <w:t>lation coefficient of -0.7628),</w:t>
      </w:r>
      <w:r w:rsidR="009910B9">
        <w:rPr>
          <w:rFonts w:ascii="Times New Roman" w:hAnsi="Times New Roman" w:cs="Times New Roman"/>
          <w:bCs/>
          <w:sz w:val="24"/>
          <w:szCs w:val="24"/>
        </w:rPr>
        <w:t xml:space="preserve"> respectively </w:t>
      </w:r>
      <w:r w:rsidRPr="00F44B42">
        <w:rPr>
          <w:rFonts w:ascii="Times New Roman" w:hAnsi="Times New Roman" w:cs="Times New Roman"/>
          <w:bCs/>
          <w:sz w:val="24"/>
          <w:szCs w:val="24"/>
        </w:rPr>
        <w:t xml:space="preserve">market instability does not dictate the evolution of </w:t>
      </w:r>
      <w:r w:rsidR="009910B9">
        <w:rPr>
          <w:rFonts w:ascii="Times New Roman" w:hAnsi="Times New Roman" w:cs="Times New Roman"/>
          <w:bCs/>
          <w:sz w:val="24"/>
          <w:szCs w:val="24"/>
        </w:rPr>
        <w:t>bond funds performance</w:t>
      </w:r>
      <w:r w:rsidRPr="00F44B42">
        <w:rPr>
          <w:rFonts w:ascii="Times New Roman" w:hAnsi="Times New Roman" w:cs="Times New Roman"/>
          <w:bCs/>
          <w:sz w:val="24"/>
          <w:szCs w:val="24"/>
        </w:rPr>
        <w:t xml:space="preserve"> </w:t>
      </w:r>
      <w:r w:rsidR="009910B9">
        <w:rPr>
          <w:rFonts w:ascii="Times New Roman" w:hAnsi="Times New Roman" w:cs="Times New Roman"/>
          <w:bCs/>
          <w:sz w:val="24"/>
          <w:szCs w:val="24"/>
        </w:rPr>
        <w:t xml:space="preserve">in the local market. Under these conditions, the unitary value of the </w:t>
      </w:r>
      <w:r w:rsidRPr="00F44B42">
        <w:rPr>
          <w:rFonts w:ascii="Times New Roman" w:hAnsi="Times New Roman" w:cs="Times New Roman"/>
          <w:bCs/>
          <w:sz w:val="24"/>
          <w:szCs w:val="24"/>
        </w:rPr>
        <w:t xml:space="preserve">net assets </w:t>
      </w:r>
      <w:r w:rsidR="009910B9">
        <w:rPr>
          <w:rFonts w:ascii="Times New Roman" w:hAnsi="Times New Roman" w:cs="Times New Roman"/>
          <w:bCs/>
          <w:sz w:val="24"/>
          <w:szCs w:val="24"/>
        </w:rPr>
        <w:t>is</w:t>
      </w:r>
      <w:r w:rsidRPr="00F44B42">
        <w:rPr>
          <w:rFonts w:ascii="Times New Roman" w:hAnsi="Times New Roman" w:cs="Times New Roman"/>
          <w:bCs/>
          <w:sz w:val="24"/>
          <w:szCs w:val="24"/>
        </w:rPr>
        <w:t xml:space="preserve"> more stable in the case of fixed income funds (</w:t>
      </w:r>
      <w:r w:rsidR="009910B9">
        <w:rPr>
          <w:rFonts w:ascii="Times New Roman" w:hAnsi="Times New Roman" w:cs="Times New Roman"/>
          <w:bCs/>
          <w:sz w:val="24"/>
          <w:szCs w:val="24"/>
        </w:rPr>
        <w:t>bonds</w:t>
      </w:r>
      <w:r w:rsidRPr="00F44B42">
        <w:rPr>
          <w:rFonts w:ascii="Times New Roman" w:hAnsi="Times New Roman" w:cs="Times New Roman"/>
          <w:bCs/>
          <w:sz w:val="24"/>
          <w:szCs w:val="24"/>
        </w:rPr>
        <w:t>) compared to</w:t>
      </w:r>
      <w:r w:rsidR="009910B9">
        <w:rPr>
          <w:rFonts w:ascii="Times New Roman" w:hAnsi="Times New Roman" w:cs="Times New Roman"/>
          <w:bCs/>
          <w:sz w:val="24"/>
          <w:szCs w:val="24"/>
        </w:rPr>
        <w:t xml:space="preserve"> equities and diversified funds</w:t>
      </w:r>
      <w:r w:rsidRPr="00F44B42">
        <w:rPr>
          <w:rFonts w:ascii="Times New Roman" w:hAnsi="Times New Roman" w:cs="Times New Roman"/>
          <w:bCs/>
          <w:sz w:val="24"/>
          <w:szCs w:val="24"/>
        </w:rPr>
        <w:t xml:space="preserve">, giving investors regular income under a reduced risk of </w:t>
      </w:r>
      <w:r w:rsidR="009910B9">
        <w:rPr>
          <w:rFonts w:ascii="Times New Roman" w:hAnsi="Times New Roman" w:cs="Times New Roman"/>
          <w:bCs/>
          <w:sz w:val="24"/>
          <w:szCs w:val="24"/>
        </w:rPr>
        <w:t>investing</w:t>
      </w:r>
      <w:r w:rsidRPr="00F44B42">
        <w:rPr>
          <w:rFonts w:ascii="Times New Roman" w:hAnsi="Times New Roman" w:cs="Times New Roman"/>
          <w:bCs/>
          <w:sz w:val="24"/>
          <w:szCs w:val="24"/>
        </w:rPr>
        <w:t>.</w:t>
      </w:r>
    </w:p>
    <w:p w:rsidR="009910B9" w:rsidRDefault="009910B9" w:rsidP="009910B9">
      <w:pPr>
        <w:pStyle w:val="HTMLPreformatted"/>
        <w:shd w:val="clear" w:color="auto" w:fill="FFFFFF"/>
        <w:spacing w:after="120"/>
        <w:jc w:val="both"/>
        <w:rPr>
          <w:rFonts w:ascii="Times New Roman" w:hAnsi="Times New Roman" w:cs="Times New Roman"/>
          <w:bCs/>
          <w:sz w:val="24"/>
          <w:szCs w:val="24"/>
        </w:rPr>
      </w:pPr>
      <w:r>
        <w:rPr>
          <w:rFonts w:ascii="Times New Roman" w:hAnsi="Times New Roman" w:cs="Times New Roman"/>
          <w:bCs/>
          <w:sz w:val="24"/>
          <w:szCs w:val="24"/>
        </w:rPr>
        <w:t>The starts of the investment funds in the post-crisis period (after 2009), the local money market funds have</w:t>
      </w:r>
      <w:r w:rsidRPr="009910B9">
        <w:rPr>
          <w:rFonts w:ascii="Times New Roman" w:hAnsi="Times New Roman" w:cs="Times New Roman"/>
          <w:bCs/>
          <w:sz w:val="24"/>
          <w:szCs w:val="24"/>
        </w:rPr>
        <w:t xml:space="preserve"> generated hi</w:t>
      </w:r>
      <w:r>
        <w:rPr>
          <w:rFonts w:ascii="Times New Roman" w:hAnsi="Times New Roman" w:cs="Times New Roman"/>
          <w:bCs/>
          <w:sz w:val="24"/>
          <w:szCs w:val="24"/>
        </w:rPr>
        <w:t xml:space="preserve">gher net gains on bank deposits, becoming the </w:t>
      </w:r>
      <w:r w:rsidRPr="009910B9">
        <w:rPr>
          <w:rFonts w:ascii="Times New Roman" w:hAnsi="Times New Roman" w:cs="Times New Roman"/>
          <w:bCs/>
          <w:sz w:val="24"/>
          <w:szCs w:val="24"/>
        </w:rPr>
        <w:t xml:space="preserve">principal catalyst that has supported the development of the </w:t>
      </w:r>
      <w:r>
        <w:rPr>
          <w:rFonts w:ascii="Times New Roman" w:hAnsi="Times New Roman" w:cs="Times New Roman"/>
          <w:bCs/>
          <w:sz w:val="24"/>
          <w:szCs w:val="24"/>
        </w:rPr>
        <w:t xml:space="preserve">mutual funds </w:t>
      </w:r>
      <w:r w:rsidRPr="009910B9">
        <w:rPr>
          <w:rFonts w:ascii="Times New Roman" w:hAnsi="Times New Roman" w:cs="Times New Roman"/>
          <w:bCs/>
          <w:sz w:val="24"/>
          <w:szCs w:val="24"/>
        </w:rPr>
        <w:t>industry (</w:t>
      </w:r>
      <w:r>
        <w:rPr>
          <w:rFonts w:ascii="Times New Roman" w:hAnsi="Times New Roman" w:cs="Times New Roman"/>
          <w:bCs/>
          <w:sz w:val="24"/>
          <w:szCs w:val="24"/>
        </w:rPr>
        <w:t>Dumitriu 2015). Thus, in the last year</w:t>
      </w:r>
      <w:r w:rsidRPr="009910B9">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sidRPr="009910B9">
        <w:rPr>
          <w:rFonts w:ascii="Times New Roman" w:hAnsi="Times New Roman" w:cs="Times New Roman"/>
          <w:bCs/>
          <w:sz w:val="24"/>
          <w:szCs w:val="24"/>
        </w:rPr>
        <w:t xml:space="preserve">average earnings brought </w:t>
      </w:r>
      <w:r>
        <w:rPr>
          <w:rFonts w:ascii="Times New Roman" w:hAnsi="Times New Roman" w:cs="Times New Roman"/>
          <w:bCs/>
          <w:sz w:val="24"/>
          <w:szCs w:val="24"/>
        </w:rPr>
        <w:t xml:space="preserve">by </w:t>
      </w:r>
      <w:r w:rsidRPr="009910B9">
        <w:rPr>
          <w:rFonts w:ascii="Times New Roman" w:hAnsi="Times New Roman" w:cs="Times New Roman"/>
          <w:bCs/>
          <w:sz w:val="24"/>
          <w:szCs w:val="24"/>
        </w:rPr>
        <w:t>bank deposits was about 3.32</w:t>
      </w:r>
      <w:r>
        <w:rPr>
          <w:rFonts w:ascii="Times New Roman" w:hAnsi="Times New Roman" w:cs="Times New Roman"/>
          <w:bCs/>
          <w:sz w:val="24"/>
          <w:szCs w:val="24"/>
        </w:rPr>
        <w:t>%</w:t>
      </w:r>
      <w:r w:rsidRPr="009910B9">
        <w:rPr>
          <w:rFonts w:ascii="Times New Roman" w:hAnsi="Times New Roman" w:cs="Times New Roman"/>
          <w:bCs/>
          <w:sz w:val="24"/>
          <w:szCs w:val="24"/>
        </w:rPr>
        <w:t xml:space="preserve">, while the most representative </w:t>
      </w:r>
      <w:r>
        <w:rPr>
          <w:rFonts w:ascii="Times New Roman" w:hAnsi="Times New Roman" w:cs="Times New Roman"/>
          <w:bCs/>
          <w:sz w:val="24"/>
          <w:szCs w:val="24"/>
        </w:rPr>
        <w:t xml:space="preserve">money market </w:t>
      </w:r>
      <w:r w:rsidRPr="009910B9">
        <w:rPr>
          <w:rFonts w:ascii="Times New Roman" w:hAnsi="Times New Roman" w:cs="Times New Roman"/>
          <w:bCs/>
          <w:sz w:val="24"/>
          <w:szCs w:val="24"/>
        </w:rPr>
        <w:t xml:space="preserve">mutual </w:t>
      </w:r>
      <w:r>
        <w:rPr>
          <w:rFonts w:ascii="Times New Roman" w:hAnsi="Times New Roman" w:cs="Times New Roman"/>
          <w:bCs/>
          <w:sz w:val="24"/>
          <w:szCs w:val="24"/>
        </w:rPr>
        <w:t>funds</w:t>
      </w:r>
      <w:r w:rsidRPr="009910B9">
        <w:rPr>
          <w:rFonts w:ascii="Times New Roman" w:hAnsi="Times New Roman" w:cs="Times New Roman"/>
          <w:bCs/>
          <w:sz w:val="24"/>
          <w:szCs w:val="24"/>
        </w:rPr>
        <w:t xml:space="preserve"> - Certinvest Prudent and ERSTE Money Market RO</w:t>
      </w:r>
      <w:r>
        <w:rPr>
          <w:rFonts w:ascii="Times New Roman" w:hAnsi="Times New Roman" w:cs="Times New Roman"/>
          <w:bCs/>
          <w:sz w:val="24"/>
          <w:szCs w:val="24"/>
        </w:rPr>
        <w:t>N obtained yields of about 5% (e.g. 5.31</w:t>
      </w:r>
      <w:r w:rsidRPr="009910B9">
        <w:rPr>
          <w:rFonts w:ascii="Times New Roman" w:hAnsi="Times New Roman" w:cs="Times New Roman"/>
          <w:bCs/>
          <w:sz w:val="24"/>
          <w:szCs w:val="24"/>
        </w:rPr>
        <w:t>% -June 2</w:t>
      </w:r>
      <w:r>
        <w:rPr>
          <w:rFonts w:ascii="Times New Roman" w:hAnsi="Times New Roman" w:cs="Times New Roman"/>
          <w:bCs/>
          <w:sz w:val="24"/>
          <w:szCs w:val="24"/>
        </w:rPr>
        <w:t>014 - Prudent Certinvest, 4.93</w:t>
      </w:r>
      <w:r w:rsidRPr="009910B9">
        <w:rPr>
          <w:rFonts w:ascii="Times New Roman" w:hAnsi="Times New Roman" w:cs="Times New Roman"/>
          <w:bCs/>
          <w:sz w:val="24"/>
          <w:szCs w:val="24"/>
        </w:rPr>
        <w:t>% - the period January to March 2014 for ERSTE Money Market RON).</w:t>
      </w:r>
    </w:p>
    <w:p w:rsidR="009910B9" w:rsidRPr="009910B9" w:rsidRDefault="009910B9" w:rsidP="009910B9">
      <w:pPr>
        <w:pStyle w:val="HTMLPreformatted"/>
        <w:shd w:val="clear" w:color="auto" w:fill="FFFFFF"/>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Within the analyzed period, the money market funds </w:t>
      </w:r>
      <w:r w:rsidRPr="009910B9">
        <w:rPr>
          <w:rFonts w:ascii="Times New Roman" w:hAnsi="Times New Roman" w:cs="Times New Roman"/>
          <w:bCs/>
          <w:sz w:val="24"/>
          <w:szCs w:val="24"/>
        </w:rPr>
        <w:t xml:space="preserve">have achieved </w:t>
      </w:r>
      <w:r>
        <w:rPr>
          <w:rFonts w:ascii="Times New Roman" w:hAnsi="Times New Roman" w:cs="Times New Roman"/>
          <w:bCs/>
          <w:sz w:val="24"/>
          <w:szCs w:val="24"/>
        </w:rPr>
        <w:t>higher returns</w:t>
      </w:r>
      <w:r w:rsidRPr="009910B9">
        <w:rPr>
          <w:rFonts w:ascii="Times New Roman" w:hAnsi="Times New Roman" w:cs="Times New Roman"/>
          <w:bCs/>
          <w:sz w:val="24"/>
          <w:szCs w:val="24"/>
        </w:rPr>
        <w:t xml:space="preserve"> </w:t>
      </w:r>
      <w:r>
        <w:rPr>
          <w:rFonts w:ascii="Times New Roman" w:hAnsi="Times New Roman" w:cs="Times New Roman"/>
          <w:bCs/>
          <w:sz w:val="24"/>
          <w:szCs w:val="24"/>
        </w:rPr>
        <w:t>over</w:t>
      </w:r>
      <w:r w:rsidRPr="009910B9">
        <w:rPr>
          <w:rFonts w:ascii="Times New Roman" w:hAnsi="Times New Roman" w:cs="Times New Roman"/>
          <w:bCs/>
          <w:sz w:val="24"/>
          <w:szCs w:val="24"/>
        </w:rPr>
        <w:t xml:space="preserve"> inflation and better results than traditional bank deposits in 2009 and 2010. With lower exposure to risk, these types of funds were preferred by investors durin</w:t>
      </w:r>
      <w:r>
        <w:rPr>
          <w:rFonts w:ascii="Times New Roman" w:hAnsi="Times New Roman" w:cs="Times New Roman"/>
          <w:bCs/>
          <w:sz w:val="24"/>
          <w:szCs w:val="24"/>
        </w:rPr>
        <w:t>g the economic crisis</w:t>
      </w:r>
      <w:r w:rsidRPr="009910B9">
        <w:rPr>
          <w:rFonts w:ascii="Times New Roman" w:hAnsi="Times New Roman" w:cs="Times New Roman"/>
          <w:bCs/>
          <w:sz w:val="24"/>
          <w:szCs w:val="24"/>
        </w:rPr>
        <w:t>, proposing rates of return of up to 24.37 % during the financial crisis (Table 3.7).</w:t>
      </w:r>
    </w:p>
    <w:p w:rsidR="004916E9" w:rsidRPr="008F00C9" w:rsidRDefault="004916E9" w:rsidP="004916E9">
      <w:pPr>
        <w:pStyle w:val="Caption"/>
        <w:spacing w:before="0" w:beforeAutospacing="0" w:after="0" w:afterAutospacing="0"/>
        <w:jc w:val="center"/>
        <w:rPr>
          <w:b/>
        </w:rPr>
      </w:pPr>
      <w:bookmarkStart w:id="25" w:name="_Toc449385156"/>
      <w:r w:rsidRPr="008F00C9">
        <w:rPr>
          <w:b/>
        </w:rPr>
        <w:t>Tab</w:t>
      </w:r>
      <w:r w:rsidR="00F73270">
        <w:rPr>
          <w:b/>
        </w:rPr>
        <w:t>le</w:t>
      </w:r>
      <w:r w:rsidRPr="008F00C9">
        <w:rPr>
          <w:b/>
        </w:rPr>
        <w:t xml:space="preserve"> 3. </w:t>
      </w:r>
      <w:r w:rsidR="004B4616" w:rsidRPr="008F00C9">
        <w:rPr>
          <w:b/>
        </w:rPr>
        <w:fldChar w:fldCharType="begin"/>
      </w:r>
      <w:r w:rsidRPr="008F00C9">
        <w:rPr>
          <w:b/>
        </w:rPr>
        <w:instrText xml:space="preserve"> SEQ Tabel_3. \* ARABIC </w:instrText>
      </w:r>
      <w:r w:rsidR="004B4616" w:rsidRPr="008F00C9">
        <w:rPr>
          <w:b/>
        </w:rPr>
        <w:fldChar w:fldCharType="separate"/>
      </w:r>
      <w:r w:rsidR="00695698" w:rsidRPr="008F00C9">
        <w:rPr>
          <w:b/>
          <w:noProof/>
        </w:rPr>
        <w:t>7</w:t>
      </w:r>
      <w:r w:rsidR="004B4616" w:rsidRPr="008F00C9">
        <w:rPr>
          <w:b/>
        </w:rPr>
        <w:fldChar w:fldCharType="end"/>
      </w:r>
      <w:r w:rsidRPr="008F00C9">
        <w:rPr>
          <w:b/>
        </w:rPr>
        <w:t xml:space="preserve"> </w:t>
      </w:r>
      <w:r w:rsidR="00542C30">
        <w:rPr>
          <w:b/>
        </w:rPr>
        <w:t>FDM results between</w:t>
      </w:r>
      <w:r w:rsidRPr="008F00C9">
        <w:rPr>
          <w:b/>
        </w:rPr>
        <w:t xml:space="preserve"> 2007-2014</w:t>
      </w:r>
      <w:bookmarkEnd w:id="25"/>
    </w:p>
    <w:p w:rsidR="004916E9" w:rsidRPr="008F00C9" w:rsidRDefault="004916E9" w:rsidP="00FF39D0">
      <w:pPr>
        <w:spacing w:line="240" w:lineRule="auto"/>
        <w:jc w:val="center"/>
        <w:rPr>
          <w:b/>
        </w:rPr>
      </w:pPr>
      <w:r w:rsidRPr="008F00C9">
        <w:rPr>
          <w:noProof/>
        </w:rPr>
        <w:drawing>
          <wp:inline distT="0" distB="0" distL="0" distR="0">
            <wp:extent cx="4890880" cy="1454288"/>
            <wp:effectExtent l="19050" t="0" r="4970" b="0"/>
            <wp:docPr id="226"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42"/>
                    <a:srcRect/>
                    <a:stretch>
                      <a:fillRect/>
                    </a:stretch>
                  </pic:blipFill>
                  <pic:spPr bwMode="auto">
                    <a:xfrm>
                      <a:off x="0" y="0"/>
                      <a:ext cx="4895277" cy="1455595"/>
                    </a:xfrm>
                    <a:prstGeom prst="rect">
                      <a:avLst/>
                    </a:prstGeom>
                    <a:noFill/>
                    <a:ln w="9525">
                      <a:noFill/>
                      <a:miter lim="800000"/>
                      <a:headEnd/>
                      <a:tailEnd/>
                    </a:ln>
                  </pic:spPr>
                </pic:pic>
              </a:graphicData>
            </a:graphic>
          </wp:inline>
        </w:drawing>
      </w:r>
    </w:p>
    <w:p w:rsidR="004916E9" w:rsidRPr="008F00C9" w:rsidRDefault="00F73270" w:rsidP="004916E9">
      <w:pPr>
        <w:spacing w:line="240" w:lineRule="auto"/>
        <w:jc w:val="center"/>
        <w:rPr>
          <w:rFonts w:ascii="Times New Roman" w:hAnsi="Times New Roman" w:cs="Times New Roman"/>
          <w:sz w:val="24"/>
          <w:szCs w:val="24"/>
        </w:rPr>
      </w:pPr>
      <w:r>
        <w:rPr>
          <w:rFonts w:ascii="Times New Roman" w:hAnsi="Times New Roman" w:cs="Times New Roman"/>
          <w:sz w:val="24"/>
          <w:szCs w:val="24"/>
        </w:rPr>
        <w:t>Source</w:t>
      </w:r>
      <w:r w:rsidR="004916E9" w:rsidRPr="008F00C9">
        <w:rPr>
          <w:rFonts w:ascii="Times New Roman" w:hAnsi="Times New Roman" w:cs="Times New Roman"/>
          <w:sz w:val="24"/>
          <w:szCs w:val="24"/>
        </w:rPr>
        <w:t xml:space="preserve">: </w:t>
      </w:r>
      <w:r>
        <w:rPr>
          <w:rFonts w:ascii="Times New Roman" w:hAnsi="Times New Roman" w:cs="Times New Roman"/>
          <w:sz w:val="24"/>
          <w:szCs w:val="24"/>
        </w:rPr>
        <w:t>author’s own processing using</w:t>
      </w:r>
      <w:r w:rsidR="004916E9" w:rsidRPr="008F00C9">
        <w:rPr>
          <w:rFonts w:ascii="Times New Roman" w:hAnsi="Times New Roman" w:cs="Times New Roman"/>
          <w:sz w:val="24"/>
          <w:szCs w:val="24"/>
        </w:rPr>
        <w:t xml:space="preserve"> AAF</w:t>
      </w:r>
      <w:r>
        <w:rPr>
          <w:rFonts w:ascii="Times New Roman" w:hAnsi="Times New Roman" w:cs="Times New Roman"/>
          <w:sz w:val="24"/>
          <w:szCs w:val="24"/>
        </w:rPr>
        <w:t xml:space="preserve"> statistics</w:t>
      </w:r>
    </w:p>
    <w:p w:rsidR="00542C30" w:rsidRPr="00542C30" w:rsidRDefault="00542C30" w:rsidP="004916E9">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Considering the potential fulfillment and the restoration of the investment climate </w:t>
      </w:r>
      <w:r w:rsidRPr="00542C30">
        <w:rPr>
          <w:rFonts w:ascii="Times New Roman" w:hAnsi="Times New Roman" w:cs="Times New Roman"/>
          <w:spacing w:val="-2"/>
          <w:sz w:val="24"/>
          <w:szCs w:val="24"/>
        </w:rPr>
        <w:t xml:space="preserve">stability, we believe that investors will return to the temptations obtain higher earnings by </w:t>
      </w:r>
      <w:r>
        <w:rPr>
          <w:rFonts w:ascii="Times New Roman" w:hAnsi="Times New Roman" w:cs="Times New Roman"/>
          <w:spacing w:val="-2"/>
          <w:sz w:val="24"/>
          <w:szCs w:val="24"/>
        </w:rPr>
        <w:t xml:space="preserve">shifting their </w:t>
      </w:r>
      <w:r w:rsidRPr="00542C30">
        <w:rPr>
          <w:rFonts w:ascii="Times New Roman" w:hAnsi="Times New Roman" w:cs="Times New Roman"/>
          <w:spacing w:val="-2"/>
          <w:sz w:val="24"/>
          <w:szCs w:val="24"/>
        </w:rPr>
        <w:t xml:space="preserve">actions </w:t>
      </w:r>
      <w:r>
        <w:rPr>
          <w:rFonts w:ascii="Times New Roman" w:hAnsi="Times New Roman" w:cs="Times New Roman"/>
          <w:spacing w:val="-2"/>
          <w:sz w:val="24"/>
          <w:szCs w:val="24"/>
        </w:rPr>
        <w:t>and changing their</w:t>
      </w:r>
      <w:r w:rsidRPr="00542C30">
        <w:rPr>
          <w:rFonts w:ascii="Times New Roman" w:hAnsi="Times New Roman" w:cs="Times New Roman"/>
          <w:spacing w:val="-2"/>
          <w:sz w:val="24"/>
          <w:szCs w:val="24"/>
        </w:rPr>
        <w:t xml:space="preserve"> position towards equities and equity funds. We expect that the market will see investors’ m</w:t>
      </w:r>
      <w:r>
        <w:rPr>
          <w:rFonts w:ascii="Times New Roman" w:hAnsi="Times New Roman" w:cs="Times New Roman"/>
          <w:spacing w:val="-2"/>
          <w:sz w:val="24"/>
          <w:szCs w:val="24"/>
        </w:rPr>
        <w:t>ovement</w:t>
      </w:r>
      <w:r w:rsidRPr="00542C30">
        <w:rPr>
          <w:rFonts w:ascii="Times New Roman" w:hAnsi="Times New Roman" w:cs="Times New Roman"/>
          <w:spacing w:val="-2"/>
          <w:sz w:val="24"/>
          <w:szCs w:val="24"/>
        </w:rPr>
        <w:t xml:space="preserve"> from collective investment towards low risk investment vehicles and gradually diversified </w:t>
      </w:r>
      <w:r>
        <w:rPr>
          <w:rFonts w:ascii="Times New Roman" w:hAnsi="Times New Roman" w:cs="Times New Roman"/>
          <w:spacing w:val="-2"/>
          <w:sz w:val="24"/>
          <w:szCs w:val="24"/>
        </w:rPr>
        <w:t>to</w:t>
      </w:r>
      <w:r w:rsidRPr="00542C30">
        <w:rPr>
          <w:rFonts w:ascii="Times New Roman" w:hAnsi="Times New Roman" w:cs="Times New Roman"/>
          <w:spacing w:val="-2"/>
          <w:sz w:val="24"/>
          <w:szCs w:val="24"/>
        </w:rPr>
        <w:t xml:space="preserve"> stock funds. </w:t>
      </w:r>
      <w:r>
        <w:rPr>
          <w:rFonts w:ascii="Times New Roman" w:hAnsi="Times New Roman" w:cs="Times New Roman"/>
          <w:spacing w:val="-2"/>
          <w:sz w:val="24"/>
          <w:szCs w:val="24"/>
        </w:rPr>
        <w:t>Alike</w:t>
      </w:r>
      <w:r w:rsidRPr="00542C30">
        <w:rPr>
          <w:rFonts w:ascii="Times New Roman" w:hAnsi="Times New Roman" w:cs="Times New Roman"/>
          <w:spacing w:val="-2"/>
          <w:sz w:val="24"/>
          <w:szCs w:val="24"/>
        </w:rPr>
        <w:t xml:space="preserve"> (Moses 2015) considers that the main determinants of investors shifting toward risk and are increasing their interest in financial planning. As the level of financial education will increase, customers of investment funds will be able to accurately define performance expectations and risks that may </w:t>
      </w:r>
      <w:r>
        <w:rPr>
          <w:rFonts w:ascii="Times New Roman" w:hAnsi="Times New Roman" w:cs="Times New Roman"/>
          <w:spacing w:val="-2"/>
          <w:sz w:val="24"/>
          <w:szCs w:val="24"/>
        </w:rPr>
        <w:t>occur</w:t>
      </w:r>
      <w:r w:rsidRPr="00542C30">
        <w:rPr>
          <w:rFonts w:ascii="Times New Roman" w:hAnsi="Times New Roman" w:cs="Times New Roman"/>
          <w:spacing w:val="-2"/>
          <w:sz w:val="24"/>
          <w:szCs w:val="24"/>
        </w:rPr>
        <w:t xml:space="preserve">. Consequently, it is assessed that the risks taken </w:t>
      </w:r>
      <w:r w:rsidRPr="00542C30">
        <w:rPr>
          <w:rFonts w:ascii="Times New Roman" w:hAnsi="Times New Roman" w:cs="Times New Roman"/>
          <w:spacing w:val="-2"/>
          <w:sz w:val="24"/>
          <w:szCs w:val="24"/>
        </w:rPr>
        <w:lastRenderedPageBreak/>
        <w:t xml:space="preserve">will rise, and </w:t>
      </w:r>
      <w:r>
        <w:rPr>
          <w:rFonts w:ascii="Times New Roman" w:hAnsi="Times New Roman" w:cs="Times New Roman"/>
          <w:spacing w:val="-2"/>
          <w:sz w:val="24"/>
          <w:szCs w:val="24"/>
        </w:rPr>
        <w:t>implicitly will develop those investment funds assessed for higher risks</w:t>
      </w:r>
      <w:r w:rsidRPr="00542C30">
        <w:rPr>
          <w:rFonts w:ascii="Times New Roman" w:hAnsi="Times New Roman" w:cs="Times New Roman"/>
          <w:spacing w:val="-2"/>
          <w:sz w:val="24"/>
          <w:szCs w:val="24"/>
        </w:rPr>
        <w:t xml:space="preserve"> (</w:t>
      </w:r>
      <w:r>
        <w:rPr>
          <w:rFonts w:ascii="Times New Roman" w:hAnsi="Times New Roman" w:cs="Times New Roman"/>
          <w:spacing w:val="-2"/>
          <w:sz w:val="24"/>
          <w:szCs w:val="24"/>
        </w:rPr>
        <w:t>i.e. equity and</w:t>
      </w:r>
      <w:r w:rsidRPr="00542C30">
        <w:rPr>
          <w:rFonts w:ascii="Times New Roman" w:hAnsi="Times New Roman" w:cs="Times New Roman"/>
          <w:spacing w:val="-2"/>
          <w:sz w:val="24"/>
          <w:szCs w:val="24"/>
        </w:rPr>
        <w:t xml:space="preserve"> diversified</w:t>
      </w:r>
      <w:r>
        <w:rPr>
          <w:rFonts w:ascii="Times New Roman" w:hAnsi="Times New Roman" w:cs="Times New Roman"/>
          <w:spacing w:val="-2"/>
          <w:sz w:val="24"/>
          <w:szCs w:val="24"/>
        </w:rPr>
        <w:t xml:space="preserve"> funds</w:t>
      </w:r>
      <w:r w:rsidRPr="00542C30">
        <w:rPr>
          <w:rFonts w:ascii="Times New Roman" w:hAnsi="Times New Roman" w:cs="Times New Roman"/>
          <w:spacing w:val="-2"/>
          <w:sz w:val="24"/>
          <w:szCs w:val="24"/>
        </w:rPr>
        <w:t>).</w:t>
      </w:r>
    </w:p>
    <w:p w:rsidR="00641AD9" w:rsidRPr="008F00C9" w:rsidRDefault="00641AD9" w:rsidP="00B37277"/>
    <w:p w:rsidR="00B37277" w:rsidRPr="008F00C9" w:rsidRDefault="003D271A" w:rsidP="003D271A">
      <w:pPr>
        <w:pStyle w:val="Heading2"/>
        <w:rPr>
          <w:i/>
        </w:rPr>
      </w:pPr>
      <w:bookmarkStart w:id="26" w:name="_Toc452412567"/>
      <w:r w:rsidRPr="008F00C9">
        <w:rPr>
          <w:i/>
        </w:rPr>
        <w:t>Chapter 4. Financing alternatives ensured by mutual funds industry</w:t>
      </w:r>
      <w:bookmarkEnd w:id="26"/>
    </w:p>
    <w:p w:rsidR="003D271A" w:rsidRPr="008F00C9" w:rsidRDefault="003D271A" w:rsidP="003D271A"/>
    <w:p w:rsidR="000D3FC0" w:rsidRDefault="000D3FC0" w:rsidP="000D3FC0">
      <w:pPr>
        <w:spacing w:after="120" w:line="240" w:lineRule="auto"/>
        <w:jc w:val="both"/>
        <w:rPr>
          <w:rFonts w:ascii="Times New Roman" w:hAnsi="Times New Roman" w:cs="Times New Roman"/>
          <w:sz w:val="24"/>
          <w:szCs w:val="24"/>
        </w:rPr>
      </w:pPr>
      <w:r w:rsidRPr="000D3FC0">
        <w:rPr>
          <w:rFonts w:ascii="Times New Roman" w:hAnsi="Times New Roman" w:cs="Times New Roman"/>
          <w:sz w:val="24"/>
          <w:szCs w:val="24"/>
        </w:rPr>
        <w:t xml:space="preserve">Chapter four </w:t>
      </w:r>
      <w:r>
        <w:rPr>
          <w:rFonts w:ascii="Times New Roman" w:hAnsi="Times New Roman" w:cs="Times New Roman"/>
          <w:sz w:val="24"/>
          <w:szCs w:val="24"/>
        </w:rPr>
        <w:t>is</w:t>
      </w:r>
      <w:r w:rsidRPr="000D3FC0">
        <w:rPr>
          <w:rFonts w:ascii="Times New Roman" w:hAnsi="Times New Roman" w:cs="Times New Roman"/>
          <w:sz w:val="24"/>
          <w:szCs w:val="24"/>
        </w:rPr>
        <w:t xml:space="preserve"> oriented toward identify</w:t>
      </w:r>
      <w:r>
        <w:rPr>
          <w:rFonts w:ascii="Times New Roman" w:hAnsi="Times New Roman" w:cs="Times New Roman"/>
          <w:sz w:val="24"/>
          <w:szCs w:val="24"/>
        </w:rPr>
        <w:t>ing</w:t>
      </w:r>
      <w:r w:rsidRPr="000D3FC0">
        <w:rPr>
          <w:rFonts w:ascii="Times New Roman" w:hAnsi="Times New Roman" w:cs="Times New Roman"/>
          <w:sz w:val="24"/>
          <w:szCs w:val="24"/>
        </w:rPr>
        <w:t xml:space="preserve"> the benefits offered by </w:t>
      </w:r>
      <w:r>
        <w:rPr>
          <w:rFonts w:ascii="Times New Roman" w:hAnsi="Times New Roman" w:cs="Times New Roman"/>
          <w:sz w:val="24"/>
          <w:szCs w:val="24"/>
        </w:rPr>
        <w:t>investment funds as financing alternatives to those entities in need for funding, thus in financing the economic growth</w:t>
      </w:r>
      <w:r w:rsidRPr="000D3FC0">
        <w:rPr>
          <w:rFonts w:ascii="Times New Roman" w:hAnsi="Times New Roman" w:cs="Times New Roman"/>
          <w:sz w:val="24"/>
          <w:szCs w:val="24"/>
        </w:rPr>
        <w:t xml:space="preserve">. </w:t>
      </w:r>
      <w:r>
        <w:rPr>
          <w:rFonts w:ascii="Times New Roman" w:hAnsi="Times New Roman" w:cs="Times New Roman"/>
          <w:sz w:val="24"/>
          <w:szCs w:val="24"/>
        </w:rPr>
        <w:t xml:space="preserve">The research is developed as a case study being carried out for private equity investments example within the Romanian market. </w:t>
      </w:r>
      <w:r w:rsidRPr="000D3FC0">
        <w:rPr>
          <w:rFonts w:ascii="Times New Roman" w:hAnsi="Times New Roman" w:cs="Times New Roman"/>
          <w:sz w:val="24"/>
          <w:szCs w:val="24"/>
        </w:rPr>
        <w:t xml:space="preserve">This alternative investment vehicle present the most comprehensive range of operations carried out by investment funds and their example can expose both the benefits and tradeoffs attached to this financing alternative financing. </w:t>
      </w:r>
      <w:r>
        <w:rPr>
          <w:rFonts w:ascii="Times New Roman" w:hAnsi="Times New Roman" w:cs="Times New Roman"/>
          <w:sz w:val="24"/>
          <w:szCs w:val="24"/>
        </w:rPr>
        <w:t xml:space="preserve">Methodogically, </w:t>
      </w:r>
      <w:r w:rsidRPr="000D3FC0">
        <w:rPr>
          <w:rFonts w:ascii="Times New Roman" w:hAnsi="Times New Roman" w:cs="Times New Roman"/>
          <w:sz w:val="24"/>
          <w:szCs w:val="24"/>
        </w:rPr>
        <w:t xml:space="preserve">the analysis covers all stages of investment funds related to demarcation of </w:t>
      </w:r>
      <w:r>
        <w:rPr>
          <w:rFonts w:ascii="Times New Roman" w:hAnsi="Times New Roman" w:cs="Times New Roman"/>
          <w:sz w:val="24"/>
          <w:szCs w:val="24"/>
        </w:rPr>
        <w:t>the</w:t>
      </w:r>
      <w:r w:rsidRPr="000D3FC0">
        <w:rPr>
          <w:rFonts w:ascii="Times New Roman" w:hAnsi="Times New Roman" w:cs="Times New Roman"/>
          <w:sz w:val="24"/>
          <w:szCs w:val="24"/>
        </w:rPr>
        <w:t xml:space="preserve"> target entity, from the selection, evaluation, implementation, monitoring</w:t>
      </w:r>
      <w:r>
        <w:rPr>
          <w:rFonts w:ascii="Times New Roman" w:hAnsi="Times New Roman" w:cs="Times New Roman"/>
          <w:sz w:val="24"/>
          <w:szCs w:val="24"/>
        </w:rPr>
        <w:t xml:space="preserve"> until the multiplication of investment while liquidation is in place.</w:t>
      </w:r>
      <w:r w:rsidRPr="000D3FC0">
        <w:rPr>
          <w:rFonts w:ascii="Times New Roman" w:hAnsi="Times New Roman" w:cs="Times New Roman"/>
          <w:sz w:val="24"/>
          <w:szCs w:val="24"/>
        </w:rPr>
        <w:t xml:space="preserve"> In this regard, the data considered are real and exemplifies the case of</w:t>
      </w:r>
      <w:r>
        <w:rPr>
          <w:rFonts w:ascii="Times New Roman" w:hAnsi="Times New Roman" w:cs="Times New Roman"/>
          <w:sz w:val="24"/>
          <w:szCs w:val="24"/>
        </w:rPr>
        <w:t xml:space="preserve"> a local pharmaceutical company,</w:t>
      </w:r>
      <w:r w:rsidRPr="000D3FC0">
        <w:rPr>
          <w:rFonts w:ascii="Times New Roman" w:hAnsi="Times New Roman" w:cs="Times New Roman"/>
          <w:sz w:val="24"/>
          <w:szCs w:val="24"/>
        </w:rPr>
        <w:t xml:space="preserve"> namely SC SICOMED SA, which benefited three </w:t>
      </w:r>
      <w:r>
        <w:rPr>
          <w:rFonts w:ascii="Times New Roman" w:hAnsi="Times New Roman" w:cs="Times New Roman"/>
          <w:sz w:val="24"/>
          <w:szCs w:val="24"/>
        </w:rPr>
        <w:t xml:space="preserve">capital inflows from </w:t>
      </w:r>
      <w:r w:rsidRPr="000D3FC0">
        <w:rPr>
          <w:rFonts w:ascii="Times New Roman" w:hAnsi="Times New Roman" w:cs="Times New Roman"/>
          <w:sz w:val="24"/>
          <w:szCs w:val="24"/>
        </w:rPr>
        <w:t>investment funds</w:t>
      </w:r>
      <w:r>
        <w:rPr>
          <w:rFonts w:ascii="Times New Roman" w:hAnsi="Times New Roman" w:cs="Times New Roman"/>
          <w:sz w:val="24"/>
          <w:szCs w:val="24"/>
        </w:rPr>
        <w:t xml:space="preserve"> side</w:t>
      </w:r>
      <w:r w:rsidRPr="000D3FC0">
        <w:rPr>
          <w:rFonts w:ascii="Times New Roman" w:hAnsi="Times New Roman" w:cs="Times New Roman"/>
          <w:sz w:val="24"/>
          <w:szCs w:val="24"/>
        </w:rPr>
        <w:t xml:space="preserve"> and whose business was restructured </w:t>
      </w:r>
      <w:r>
        <w:rPr>
          <w:rFonts w:ascii="Times New Roman" w:hAnsi="Times New Roman" w:cs="Times New Roman"/>
          <w:sz w:val="24"/>
          <w:szCs w:val="24"/>
        </w:rPr>
        <w:t>under</w:t>
      </w:r>
      <w:r w:rsidRPr="000D3FC0">
        <w:rPr>
          <w:rFonts w:ascii="Times New Roman" w:hAnsi="Times New Roman" w:cs="Times New Roman"/>
          <w:sz w:val="24"/>
          <w:szCs w:val="24"/>
        </w:rPr>
        <w:t xml:space="preserve"> Zentiva </w:t>
      </w:r>
      <w:r>
        <w:rPr>
          <w:rFonts w:ascii="Times New Roman" w:hAnsi="Times New Roman" w:cs="Times New Roman"/>
          <w:sz w:val="24"/>
          <w:szCs w:val="24"/>
        </w:rPr>
        <w:t>name</w:t>
      </w:r>
      <w:r w:rsidR="00352A17">
        <w:rPr>
          <w:rFonts w:ascii="Times New Roman" w:hAnsi="Times New Roman" w:cs="Times New Roman"/>
          <w:sz w:val="24"/>
          <w:szCs w:val="24"/>
        </w:rPr>
        <w:t>. This example has become a particular one defining best how private equity funds provide financing and add value to an entity. For example, following funds involvement, Zentiva new merged entity announced a turnover of 11 times higher after Sicomed was acquired. However, the takeover’s success was not fully accompagned for all levels - it has been marked also by a serie of compromises that have included various restructuring strategies.</w:t>
      </w:r>
    </w:p>
    <w:p w:rsidR="00352A17" w:rsidRDefault="00352A17" w:rsidP="000D3FC0">
      <w:pPr>
        <w:spacing w:after="120" w:line="240" w:lineRule="auto"/>
        <w:jc w:val="both"/>
        <w:rPr>
          <w:rFonts w:ascii="Times New Roman" w:hAnsi="Times New Roman" w:cs="Times New Roman"/>
          <w:sz w:val="24"/>
          <w:szCs w:val="24"/>
        </w:rPr>
      </w:pPr>
      <w:r w:rsidRPr="00352A17">
        <w:rPr>
          <w:rFonts w:ascii="Times New Roman" w:hAnsi="Times New Roman" w:cs="Times New Roman"/>
          <w:sz w:val="24"/>
          <w:szCs w:val="24"/>
        </w:rPr>
        <w:t xml:space="preserve">Thus, </w:t>
      </w:r>
      <w:r>
        <w:rPr>
          <w:rFonts w:ascii="Times New Roman" w:hAnsi="Times New Roman" w:cs="Times New Roman"/>
          <w:sz w:val="24"/>
          <w:szCs w:val="24"/>
        </w:rPr>
        <w:t>we</w:t>
      </w:r>
      <w:r w:rsidRPr="00352A17">
        <w:rPr>
          <w:rFonts w:ascii="Times New Roman" w:hAnsi="Times New Roman" w:cs="Times New Roman"/>
          <w:sz w:val="24"/>
          <w:szCs w:val="24"/>
        </w:rPr>
        <w:t xml:space="preserve"> found that following investing and financing</w:t>
      </w:r>
      <w:r>
        <w:rPr>
          <w:rFonts w:ascii="Times New Roman" w:hAnsi="Times New Roman" w:cs="Times New Roman"/>
          <w:sz w:val="24"/>
          <w:szCs w:val="24"/>
        </w:rPr>
        <w:t xml:space="preserve"> </w:t>
      </w:r>
      <w:r w:rsidRPr="00352A17">
        <w:rPr>
          <w:rFonts w:ascii="Times New Roman" w:hAnsi="Times New Roman" w:cs="Times New Roman"/>
          <w:sz w:val="24"/>
          <w:szCs w:val="24"/>
        </w:rPr>
        <w:t>cycle are eme</w:t>
      </w:r>
      <w:r>
        <w:rPr>
          <w:rFonts w:ascii="Times New Roman" w:hAnsi="Times New Roman" w:cs="Times New Roman"/>
          <w:sz w:val="24"/>
          <w:szCs w:val="24"/>
        </w:rPr>
        <w:t>rging on a two-way relationship</w:t>
      </w:r>
      <w:r w:rsidRPr="00352A17">
        <w:rPr>
          <w:rFonts w:ascii="Times New Roman" w:hAnsi="Times New Roman" w:cs="Times New Roman"/>
          <w:sz w:val="24"/>
          <w:szCs w:val="24"/>
        </w:rPr>
        <w:t xml:space="preserve">. Both traded funds </w:t>
      </w:r>
      <w:r>
        <w:rPr>
          <w:rFonts w:ascii="Times New Roman" w:hAnsi="Times New Roman" w:cs="Times New Roman"/>
          <w:sz w:val="24"/>
          <w:szCs w:val="24"/>
        </w:rPr>
        <w:t>and</w:t>
      </w:r>
      <w:r w:rsidRPr="00352A17">
        <w:rPr>
          <w:rFonts w:ascii="Times New Roman" w:hAnsi="Times New Roman" w:cs="Times New Roman"/>
          <w:sz w:val="24"/>
          <w:szCs w:val="24"/>
        </w:rPr>
        <w:t xml:space="preserve"> </w:t>
      </w:r>
      <w:r>
        <w:rPr>
          <w:rFonts w:ascii="Times New Roman" w:hAnsi="Times New Roman" w:cs="Times New Roman"/>
          <w:sz w:val="24"/>
          <w:szCs w:val="24"/>
        </w:rPr>
        <w:t xml:space="preserve">target </w:t>
      </w:r>
      <w:r w:rsidRPr="00352A17">
        <w:rPr>
          <w:rFonts w:ascii="Times New Roman" w:hAnsi="Times New Roman" w:cs="Times New Roman"/>
          <w:sz w:val="24"/>
          <w:szCs w:val="24"/>
        </w:rPr>
        <w:t xml:space="preserve">companies may influence </w:t>
      </w:r>
      <w:r>
        <w:rPr>
          <w:rFonts w:ascii="Times New Roman" w:hAnsi="Times New Roman" w:cs="Times New Roman"/>
          <w:sz w:val="24"/>
          <w:szCs w:val="24"/>
        </w:rPr>
        <w:t>investors' expected performance</w:t>
      </w:r>
      <w:r w:rsidRPr="00352A17">
        <w:rPr>
          <w:rFonts w:ascii="Times New Roman" w:hAnsi="Times New Roman" w:cs="Times New Roman"/>
          <w:sz w:val="24"/>
          <w:szCs w:val="24"/>
        </w:rPr>
        <w:t>. In other w</w:t>
      </w:r>
      <w:r>
        <w:rPr>
          <w:rFonts w:ascii="Times New Roman" w:hAnsi="Times New Roman" w:cs="Times New Roman"/>
          <w:sz w:val="24"/>
          <w:szCs w:val="24"/>
        </w:rPr>
        <w:t>ords</w:t>
      </w:r>
      <w:r w:rsidRPr="00352A17">
        <w:rPr>
          <w:rFonts w:ascii="Times New Roman" w:hAnsi="Times New Roman" w:cs="Times New Roman"/>
          <w:sz w:val="24"/>
          <w:szCs w:val="24"/>
        </w:rPr>
        <w:t xml:space="preserve">, there is a </w:t>
      </w:r>
      <w:r>
        <w:rPr>
          <w:rFonts w:ascii="Times New Roman" w:hAnsi="Times New Roman" w:cs="Times New Roman"/>
          <w:sz w:val="24"/>
          <w:szCs w:val="24"/>
        </w:rPr>
        <w:t>rebound</w:t>
      </w:r>
      <w:r w:rsidRPr="00352A17">
        <w:rPr>
          <w:rFonts w:ascii="Times New Roman" w:hAnsi="Times New Roman" w:cs="Times New Roman"/>
          <w:sz w:val="24"/>
          <w:szCs w:val="24"/>
        </w:rPr>
        <w:t xml:space="preserve"> effect between the partners involved in this financing mechanism </w:t>
      </w:r>
      <w:r>
        <w:rPr>
          <w:rFonts w:ascii="Times New Roman" w:hAnsi="Times New Roman" w:cs="Times New Roman"/>
          <w:sz w:val="24"/>
          <w:szCs w:val="24"/>
        </w:rPr>
        <w:t xml:space="preserve">while </w:t>
      </w:r>
      <w:r w:rsidRPr="00352A17">
        <w:rPr>
          <w:rFonts w:ascii="Times New Roman" w:hAnsi="Times New Roman" w:cs="Times New Roman"/>
          <w:sz w:val="24"/>
          <w:szCs w:val="24"/>
        </w:rPr>
        <w:t>involving investment funds</w:t>
      </w:r>
      <w:r>
        <w:rPr>
          <w:rFonts w:ascii="Times New Roman" w:hAnsi="Times New Roman" w:cs="Times New Roman"/>
          <w:sz w:val="24"/>
          <w:szCs w:val="24"/>
        </w:rPr>
        <w:t>. This connection is best described by Luckoff figure, below presented.</w:t>
      </w:r>
    </w:p>
    <w:p w:rsidR="004916E9" w:rsidRPr="008F00C9" w:rsidRDefault="00233FBB" w:rsidP="004916E9">
      <w:pPr>
        <w:pStyle w:val="Caption"/>
        <w:spacing w:after="0" w:afterAutospacing="0"/>
        <w:jc w:val="center"/>
        <w:rPr>
          <w:b/>
        </w:rPr>
      </w:pPr>
      <w:bookmarkStart w:id="27" w:name="_Toc449385208"/>
      <w:r>
        <w:rPr>
          <w:b/>
        </w:rPr>
        <w:t>Figure</w:t>
      </w:r>
      <w:r w:rsidR="004916E9" w:rsidRPr="008F00C9">
        <w:rPr>
          <w:b/>
        </w:rPr>
        <w:t xml:space="preserve"> 4. </w:t>
      </w:r>
      <w:r w:rsidR="004B4616" w:rsidRPr="008F00C9">
        <w:rPr>
          <w:b/>
        </w:rPr>
        <w:fldChar w:fldCharType="begin"/>
      </w:r>
      <w:r w:rsidR="004916E9" w:rsidRPr="008F00C9">
        <w:rPr>
          <w:b/>
        </w:rPr>
        <w:instrText xml:space="preserve"> SEQ Figura_4. \* ARABIC </w:instrText>
      </w:r>
      <w:r w:rsidR="004B4616" w:rsidRPr="008F00C9">
        <w:rPr>
          <w:b/>
        </w:rPr>
        <w:fldChar w:fldCharType="separate"/>
      </w:r>
      <w:r w:rsidR="00695698" w:rsidRPr="008F00C9">
        <w:rPr>
          <w:b/>
          <w:noProof/>
        </w:rPr>
        <w:t>1</w:t>
      </w:r>
      <w:r w:rsidR="004B4616" w:rsidRPr="008F00C9">
        <w:rPr>
          <w:b/>
        </w:rPr>
        <w:fldChar w:fldCharType="end"/>
      </w:r>
      <w:r w:rsidR="004916E9" w:rsidRPr="008F00C9">
        <w:rPr>
          <w:b/>
        </w:rPr>
        <w:t xml:space="preserve">. </w:t>
      </w:r>
      <w:r>
        <w:rPr>
          <w:b/>
        </w:rPr>
        <w:t xml:space="preserve">Financing cycle </w:t>
      </w:r>
      <w:bookmarkEnd w:id="27"/>
    </w:p>
    <w:p w:rsidR="004916E9" w:rsidRPr="008F00C9" w:rsidRDefault="004916E9" w:rsidP="004916E9">
      <w:pPr>
        <w:spacing w:after="0" w:line="360" w:lineRule="auto"/>
        <w:jc w:val="center"/>
        <w:rPr>
          <w:rFonts w:ascii="Times New Roman" w:hAnsi="Times New Roman" w:cs="Times New Roman"/>
          <w:sz w:val="24"/>
          <w:szCs w:val="24"/>
        </w:rPr>
      </w:pPr>
      <w:r w:rsidRPr="008F00C9">
        <w:rPr>
          <w:rFonts w:ascii="Times New Roman" w:hAnsi="Times New Roman" w:cs="Times New Roman"/>
          <w:noProof/>
          <w:sz w:val="24"/>
          <w:szCs w:val="24"/>
        </w:rPr>
        <w:drawing>
          <wp:inline distT="0" distB="0" distL="0" distR="0">
            <wp:extent cx="4042741" cy="2043830"/>
            <wp:effectExtent l="1905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a:srcRect/>
                    <a:stretch>
                      <a:fillRect/>
                    </a:stretch>
                  </pic:blipFill>
                  <pic:spPr bwMode="auto">
                    <a:xfrm>
                      <a:off x="0" y="0"/>
                      <a:ext cx="4047253" cy="2046111"/>
                    </a:xfrm>
                    <a:prstGeom prst="rect">
                      <a:avLst/>
                    </a:prstGeom>
                    <a:noFill/>
                    <a:ln w="9525">
                      <a:noFill/>
                      <a:miter lim="800000"/>
                      <a:headEnd/>
                      <a:tailEnd/>
                    </a:ln>
                  </pic:spPr>
                </pic:pic>
              </a:graphicData>
            </a:graphic>
          </wp:inline>
        </w:drawing>
      </w:r>
    </w:p>
    <w:p w:rsidR="004916E9" w:rsidRPr="008F00C9" w:rsidRDefault="00F73270" w:rsidP="0033747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Source</w:t>
      </w:r>
      <w:r w:rsidR="004916E9" w:rsidRPr="008F00C9">
        <w:rPr>
          <w:rFonts w:ascii="Times New Roman" w:hAnsi="Times New Roman" w:cs="Times New Roman"/>
          <w:sz w:val="24"/>
          <w:szCs w:val="24"/>
        </w:rPr>
        <w:t xml:space="preserve">: </w:t>
      </w:r>
      <w:r>
        <w:rPr>
          <w:rFonts w:ascii="Times New Roman" w:hAnsi="Times New Roman" w:cs="Times New Roman"/>
          <w:sz w:val="24"/>
          <w:szCs w:val="24"/>
        </w:rPr>
        <w:t>author’s own processing using</w:t>
      </w:r>
      <w:r w:rsidR="004916E9" w:rsidRPr="008F00C9">
        <w:rPr>
          <w:rFonts w:ascii="Times New Roman" w:hAnsi="Times New Roman" w:cs="Times New Roman"/>
          <w:sz w:val="24"/>
          <w:szCs w:val="24"/>
        </w:rPr>
        <w:t xml:space="preserve"> </w:t>
      </w:r>
      <w:sdt>
        <w:sdtPr>
          <w:rPr>
            <w:rFonts w:ascii="Times New Roman" w:hAnsi="Times New Roman" w:cs="Times New Roman"/>
            <w:sz w:val="24"/>
            <w:szCs w:val="24"/>
          </w:rPr>
          <w:id w:val="26458761"/>
          <w:citation/>
        </w:sdtPr>
        <w:sdtContent>
          <w:r w:rsidR="004B4616" w:rsidRPr="008F00C9">
            <w:rPr>
              <w:rFonts w:ascii="Times New Roman" w:hAnsi="Times New Roman" w:cs="Times New Roman"/>
              <w:sz w:val="24"/>
              <w:szCs w:val="24"/>
            </w:rPr>
            <w:fldChar w:fldCharType="begin"/>
          </w:r>
          <w:r w:rsidR="004916E9" w:rsidRPr="008F00C9">
            <w:rPr>
              <w:rFonts w:ascii="Times New Roman" w:hAnsi="Times New Roman" w:cs="Times New Roman"/>
              <w:sz w:val="24"/>
              <w:szCs w:val="24"/>
            </w:rPr>
            <w:instrText xml:space="preserve"> CITATION Luc10 \l 1048 </w:instrText>
          </w:r>
          <w:r w:rsidR="004B4616" w:rsidRPr="008F00C9">
            <w:rPr>
              <w:rFonts w:ascii="Times New Roman" w:hAnsi="Times New Roman" w:cs="Times New Roman"/>
              <w:sz w:val="24"/>
              <w:szCs w:val="24"/>
            </w:rPr>
            <w:fldChar w:fldCharType="separate"/>
          </w:r>
          <w:r w:rsidR="004916E9" w:rsidRPr="008F00C9">
            <w:rPr>
              <w:rFonts w:ascii="Times New Roman" w:hAnsi="Times New Roman" w:cs="Times New Roman"/>
              <w:noProof/>
              <w:sz w:val="24"/>
              <w:szCs w:val="24"/>
            </w:rPr>
            <w:t>(Luckoff 2010)</w:t>
          </w:r>
          <w:r w:rsidR="004B4616" w:rsidRPr="008F00C9">
            <w:rPr>
              <w:rFonts w:ascii="Times New Roman" w:hAnsi="Times New Roman" w:cs="Times New Roman"/>
              <w:sz w:val="24"/>
              <w:szCs w:val="24"/>
            </w:rPr>
            <w:fldChar w:fldCharType="end"/>
          </w:r>
        </w:sdtContent>
      </w:sdt>
      <w:r>
        <w:rPr>
          <w:rFonts w:ascii="Times New Roman" w:hAnsi="Times New Roman" w:cs="Times New Roman"/>
          <w:sz w:val="24"/>
          <w:szCs w:val="24"/>
        </w:rPr>
        <w:t xml:space="preserve"> referrence</w:t>
      </w:r>
    </w:p>
    <w:p w:rsidR="00AF030F" w:rsidRDefault="00AF030F" w:rsidP="0033747B">
      <w:pPr>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For a better representation of investment funds financing cycle our analysis will be spreaded within private equity market. </w:t>
      </w:r>
      <w:r w:rsidRPr="00AF030F">
        <w:rPr>
          <w:rFonts w:ascii="Times New Roman" w:hAnsi="Times New Roman" w:cs="Times New Roman"/>
          <w:sz w:val="24"/>
          <w:szCs w:val="24"/>
          <w:lang w:val="ro-RO"/>
        </w:rPr>
        <w:t>As</w:t>
      </w:r>
      <w:r w:rsidR="00C36DCE">
        <w:rPr>
          <w:rFonts w:ascii="Times New Roman" w:hAnsi="Times New Roman" w:cs="Times New Roman"/>
          <w:sz w:val="24"/>
          <w:szCs w:val="24"/>
          <w:lang w:val="ro-RO"/>
        </w:rPr>
        <w:t xml:space="preserve"> a source of external financing</w:t>
      </w:r>
      <w:r w:rsidRPr="00AF030F">
        <w:rPr>
          <w:rFonts w:ascii="Times New Roman" w:hAnsi="Times New Roman" w:cs="Times New Roman"/>
          <w:sz w:val="24"/>
          <w:szCs w:val="24"/>
          <w:lang w:val="ro-RO"/>
        </w:rPr>
        <w:t xml:space="preserve">, </w:t>
      </w:r>
      <w:r w:rsidR="00C36DCE">
        <w:rPr>
          <w:rFonts w:ascii="Times New Roman" w:hAnsi="Times New Roman" w:cs="Times New Roman"/>
          <w:sz w:val="24"/>
          <w:szCs w:val="24"/>
          <w:lang w:val="ro-RO"/>
        </w:rPr>
        <w:t>private equity funds</w:t>
      </w:r>
      <w:r w:rsidRPr="00AF030F">
        <w:rPr>
          <w:rFonts w:ascii="Times New Roman" w:hAnsi="Times New Roman" w:cs="Times New Roman"/>
          <w:sz w:val="24"/>
          <w:szCs w:val="24"/>
          <w:lang w:val="ro-RO"/>
        </w:rPr>
        <w:t xml:space="preserve"> foreshadows a partnership between the investment fund and </w:t>
      </w:r>
      <w:r w:rsidR="00C36DCE">
        <w:rPr>
          <w:rFonts w:ascii="Times New Roman" w:hAnsi="Times New Roman" w:cs="Times New Roman"/>
          <w:sz w:val="24"/>
          <w:szCs w:val="24"/>
          <w:lang w:val="ro-RO"/>
        </w:rPr>
        <w:t xml:space="preserve">the </w:t>
      </w:r>
      <w:r w:rsidRPr="00AF030F">
        <w:rPr>
          <w:rFonts w:ascii="Times New Roman" w:hAnsi="Times New Roman" w:cs="Times New Roman"/>
          <w:sz w:val="24"/>
          <w:szCs w:val="24"/>
          <w:lang w:val="ro-RO"/>
        </w:rPr>
        <w:t xml:space="preserve">beneficial </w:t>
      </w:r>
      <w:r w:rsidR="00C36DCE">
        <w:rPr>
          <w:rFonts w:ascii="Times New Roman" w:hAnsi="Times New Roman" w:cs="Times New Roman"/>
          <w:sz w:val="24"/>
          <w:szCs w:val="24"/>
          <w:lang w:val="ro-RO"/>
        </w:rPr>
        <w:t xml:space="preserve">of the invested capital </w:t>
      </w:r>
      <w:r w:rsidRPr="00AF030F">
        <w:rPr>
          <w:rFonts w:ascii="Times New Roman" w:hAnsi="Times New Roman" w:cs="Times New Roman"/>
          <w:sz w:val="24"/>
          <w:szCs w:val="24"/>
          <w:lang w:val="ro-RO"/>
        </w:rPr>
        <w:t xml:space="preserve">through a financing contract </w:t>
      </w:r>
      <w:r w:rsidR="00C36DCE">
        <w:rPr>
          <w:rFonts w:ascii="Times New Roman" w:hAnsi="Times New Roman" w:cs="Times New Roman"/>
          <w:sz w:val="24"/>
          <w:szCs w:val="24"/>
          <w:lang w:val="ro-RO"/>
        </w:rPr>
        <w:t xml:space="preserve">that </w:t>
      </w:r>
      <w:r w:rsidRPr="00AF030F">
        <w:rPr>
          <w:rFonts w:ascii="Times New Roman" w:hAnsi="Times New Roman" w:cs="Times New Roman"/>
          <w:sz w:val="24"/>
          <w:szCs w:val="24"/>
          <w:lang w:val="ro-RO"/>
        </w:rPr>
        <w:t>will be based on either an issue of shares or bonds</w:t>
      </w:r>
      <w:r w:rsidR="00C36DCE">
        <w:rPr>
          <w:rFonts w:ascii="Times New Roman" w:hAnsi="Times New Roman" w:cs="Times New Roman"/>
          <w:sz w:val="24"/>
          <w:szCs w:val="24"/>
          <w:lang w:val="ro-RO"/>
        </w:rPr>
        <w:t>. Consequently</w:t>
      </w:r>
      <w:r w:rsidRPr="00AF030F">
        <w:rPr>
          <w:rFonts w:ascii="Times New Roman" w:hAnsi="Times New Roman" w:cs="Times New Roman"/>
          <w:sz w:val="24"/>
          <w:szCs w:val="24"/>
          <w:lang w:val="ro-RO"/>
        </w:rPr>
        <w:t xml:space="preserve">, </w:t>
      </w:r>
      <w:r w:rsidR="00C36DCE">
        <w:rPr>
          <w:rFonts w:ascii="Times New Roman" w:hAnsi="Times New Roman" w:cs="Times New Roman"/>
          <w:sz w:val="24"/>
          <w:szCs w:val="24"/>
          <w:lang w:val="ro-RO"/>
        </w:rPr>
        <w:t xml:space="preserve">private </w:t>
      </w:r>
      <w:r w:rsidR="00C36DCE">
        <w:rPr>
          <w:rFonts w:ascii="Times New Roman" w:hAnsi="Times New Roman" w:cs="Times New Roman"/>
          <w:sz w:val="24"/>
          <w:szCs w:val="24"/>
          <w:lang w:val="ro-RO"/>
        </w:rPr>
        <w:lastRenderedPageBreak/>
        <w:t xml:space="preserve">equity capital </w:t>
      </w:r>
      <w:r w:rsidRPr="00AF030F">
        <w:rPr>
          <w:rFonts w:ascii="Times New Roman" w:hAnsi="Times New Roman" w:cs="Times New Roman"/>
          <w:sz w:val="24"/>
          <w:szCs w:val="24"/>
          <w:lang w:val="ro-RO"/>
        </w:rPr>
        <w:t>intervention takes the form of a investment</w:t>
      </w:r>
      <w:r w:rsidR="00C36DCE">
        <w:rPr>
          <w:rFonts w:ascii="Times New Roman" w:hAnsi="Times New Roman" w:cs="Times New Roman"/>
          <w:sz w:val="24"/>
          <w:szCs w:val="24"/>
          <w:lang w:val="ro-RO"/>
        </w:rPr>
        <w:t xml:space="preserve"> parnership</w:t>
      </w:r>
      <w:r w:rsidRPr="00AF030F">
        <w:rPr>
          <w:rFonts w:ascii="Times New Roman" w:hAnsi="Times New Roman" w:cs="Times New Roman"/>
          <w:sz w:val="24"/>
          <w:szCs w:val="24"/>
          <w:lang w:val="ro-RO"/>
        </w:rPr>
        <w:t xml:space="preserve"> by purchasing securities issued by </w:t>
      </w:r>
      <w:r w:rsidR="00C36DCE">
        <w:rPr>
          <w:rFonts w:ascii="Times New Roman" w:hAnsi="Times New Roman" w:cs="Times New Roman"/>
          <w:sz w:val="24"/>
          <w:szCs w:val="24"/>
          <w:lang w:val="ro-RO"/>
        </w:rPr>
        <w:t xml:space="preserve">those </w:t>
      </w:r>
      <w:r w:rsidRPr="00AF030F">
        <w:rPr>
          <w:rFonts w:ascii="Times New Roman" w:hAnsi="Times New Roman" w:cs="Times New Roman"/>
          <w:sz w:val="24"/>
          <w:szCs w:val="24"/>
          <w:lang w:val="ro-RO"/>
        </w:rPr>
        <w:t>compani</w:t>
      </w:r>
      <w:r w:rsidR="00C36DCE">
        <w:rPr>
          <w:rFonts w:ascii="Times New Roman" w:hAnsi="Times New Roman" w:cs="Times New Roman"/>
          <w:sz w:val="24"/>
          <w:szCs w:val="24"/>
          <w:lang w:val="ro-RO"/>
        </w:rPr>
        <w:t>es in need of capital funding</w:t>
      </w:r>
      <w:r w:rsidRPr="00AF030F">
        <w:rPr>
          <w:rFonts w:ascii="Times New Roman" w:hAnsi="Times New Roman" w:cs="Times New Roman"/>
          <w:sz w:val="24"/>
          <w:szCs w:val="24"/>
          <w:lang w:val="ro-RO"/>
        </w:rPr>
        <w:t>.</w:t>
      </w:r>
    </w:p>
    <w:p w:rsidR="00C36DCE" w:rsidRPr="00C36DCE" w:rsidRDefault="00C36DCE" w:rsidP="0033747B">
      <w:pPr>
        <w:spacing w:after="120" w:line="240" w:lineRule="auto"/>
        <w:jc w:val="both"/>
        <w:rPr>
          <w:rFonts w:ascii="Times New Roman" w:hAnsi="Times New Roman" w:cs="Times New Roman"/>
          <w:sz w:val="24"/>
          <w:szCs w:val="24"/>
          <w:lang w:val="ro-RO"/>
        </w:rPr>
      </w:pPr>
      <w:r w:rsidRPr="00C36DCE">
        <w:rPr>
          <w:rFonts w:ascii="Times New Roman" w:hAnsi="Times New Roman" w:cs="Times New Roman"/>
          <w:sz w:val="24"/>
          <w:szCs w:val="24"/>
          <w:lang w:val="ro-RO"/>
        </w:rPr>
        <w:t>F</w:t>
      </w:r>
      <w:r>
        <w:rPr>
          <w:rFonts w:ascii="Times New Roman" w:hAnsi="Times New Roman" w:cs="Times New Roman"/>
          <w:sz w:val="24"/>
          <w:szCs w:val="24"/>
          <w:lang w:val="ro-RO"/>
        </w:rPr>
        <w:t>rom a macroeconomic perspective</w:t>
      </w:r>
      <w:r w:rsidRPr="00C36DCE">
        <w:rPr>
          <w:rFonts w:ascii="Times New Roman" w:hAnsi="Times New Roman" w:cs="Times New Roman"/>
          <w:sz w:val="24"/>
          <w:szCs w:val="24"/>
          <w:lang w:val="ro-RO"/>
        </w:rPr>
        <w:t xml:space="preserve">, EVCA and Frontier Economics have identified the business benefits of </w:t>
      </w:r>
      <w:r>
        <w:rPr>
          <w:rFonts w:ascii="Times New Roman" w:hAnsi="Times New Roman" w:cs="Times New Roman"/>
          <w:sz w:val="24"/>
          <w:szCs w:val="24"/>
          <w:lang w:val="ro-RO"/>
        </w:rPr>
        <w:t>private equity</w:t>
      </w:r>
      <w:r w:rsidRPr="00C36DCE">
        <w:rPr>
          <w:rFonts w:ascii="Times New Roman" w:hAnsi="Times New Roman" w:cs="Times New Roman"/>
          <w:sz w:val="24"/>
          <w:szCs w:val="24"/>
          <w:lang w:val="ro-RO"/>
        </w:rPr>
        <w:t xml:space="preserve"> funds based on three indicators </w:t>
      </w:r>
      <w:r>
        <w:rPr>
          <w:rFonts w:ascii="Times New Roman" w:hAnsi="Times New Roman" w:cs="Times New Roman"/>
          <w:sz w:val="24"/>
          <w:szCs w:val="24"/>
          <w:lang w:val="ro-RO"/>
        </w:rPr>
        <w:t>briefly presented in</w:t>
      </w:r>
      <w:r w:rsidRPr="00C36DCE">
        <w:rPr>
          <w:rFonts w:ascii="Times New Roman" w:hAnsi="Times New Roman" w:cs="Times New Roman"/>
          <w:sz w:val="24"/>
          <w:szCs w:val="24"/>
          <w:lang w:val="ro-RO"/>
        </w:rPr>
        <w:t xml:space="preserve"> Figure 4.2 .</w:t>
      </w:r>
    </w:p>
    <w:p w:rsidR="004916E9" w:rsidRPr="008F00C9" w:rsidRDefault="004916E9" w:rsidP="004916E9">
      <w:pPr>
        <w:pStyle w:val="Caption"/>
        <w:spacing w:before="0" w:beforeAutospacing="0" w:after="0" w:afterAutospacing="0"/>
        <w:jc w:val="center"/>
        <w:rPr>
          <w:b/>
        </w:rPr>
      </w:pPr>
      <w:bookmarkStart w:id="28" w:name="_Toc449385209"/>
      <w:r w:rsidRPr="008F00C9">
        <w:rPr>
          <w:b/>
        </w:rPr>
        <w:t>Figur</w:t>
      </w:r>
      <w:r w:rsidR="00243D64">
        <w:rPr>
          <w:b/>
        </w:rPr>
        <w:t>e</w:t>
      </w:r>
      <w:r w:rsidRPr="008F00C9">
        <w:rPr>
          <w:b/>
        </w:rPr>
        <w:t xml:space="preserve"> 4. </w:t>
      </w:r>
      <w:r w:rsidR="004B4616" w:rsidRPr="008F00C9">
        <w:rPr>
          <w:b/>
        </w:rPr>
        <w:fldChar w:fldCharType="begin"/>
      </w:r>
      <w:r w:rsidRPr="008F00C9">
        <w:rPr>
          <w:b/>
        </w:rPr>
        <w:instrText xml:space="preserve"> SEQ Figura_4. \* ARABIC </w:instrText>
      </w:r>
      <w:r w:rsidR="004B4616" w:rsidRPr="008F00C9">
        <w:rPr>
          <w:b/>
        </w:rPr>
        <w:fldChar w:fldCharType="separate"/>
      </w:r>
      <w:r w:rsidR="00E15C1E">
        <w:rPr>
          <w:b/>
          <w:noProof/>
        </w:rPr>
        <w:t>2</w:t>
      </w:r>
      <w:r w:rsidR="004B4616" w:rsidRPr="008F00C9">
        <w:rPr>
          <w:b/>
        </w:rPr>
        <w:fldChar w:fldCharType="end"/>
      </w:r>
      <w:r w:rsidRPr="008F00C9">
        <w:rPr>
          <w:b/>
        </w:rPr>
        <w:t xml:space="preserve"> </w:t>
      </w:r>
      <w:r w:rsidR="00243D64">
        <w:rPr>
          <w:b/>
        </w:rPr>
        <w:t xml:space="preserve">Interconnections between private equity funds and economic growth </w:t>
      </w:r>
      <w:bookmarkEnd w:id="28"/>
    </w:p>
    <w:p w:rsidR="004916E9" w:rsidRPr="008F00C9" w:rsidRDefault="004916E9" w:rsidP="004916E9">
      <w:pPr>
        <w:spacing w:after="0"/>
        <w:jc w:val="center"/>
      </w:pPr>
      <w:r w:rsidRPr="008F00C9">
        <w:rPr>
          <w:noProof/>
        </w:rPr>
        <w:drawing>
          <wp:inline distT="0" distB="0" distL="0" distR="0">
            <wp:extent cx="3863837" cy="2841623"/>
            <wp:effectExtent l="19050" t="0" r="3313" b="0"/>
            <wp:docPr id="14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srcRect/>
                    <a:stretch>
                      <a:fillRect/>
                    </a:stretch>
                  </pic:blipFill>
                  <pic:spPr bwMode="auto">
                    <a:xfrm>
                      <a:off x="0" y="0"/>
                      <a:ext cx="3867623" cy="2844407"/>
                    </a:xfrm>
                    <a:prstGeom prst="rect">
                      <a:avLst/>
                    </a:prstGeom>
                    <a:noFill/>
                    <a:ln w="9525">
                      <a:noFill/>
                      <a:miter lim="800000"/>
                      <a:headEnd/>
                      <a:tailEnd/>
                    </a:ln>
                  </pic:spPr>
                </pic:pic>
              </a:graphicData>
            </a:graphic>
          </wp:inline>
        </w:drawing>
      </w:r>
    </w:p>
    <w:p w:rsidR="004916E9" w:rsidRPr="008F00C9" w:rsidRDefault="003E6124" w:rsidP="004916E9">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Source</w:t>
      </w:r>
      <w:r w:rsidR="004916E9" w:rsidRPr="008F00C9">
        <w:rPr>
          <w:rFonts w:ascii="Times New Roman" w:hAnsi="Times New Roman" w:cs="Times New Roman"/>
          <w:sz w:val="24"/>
          <w:szCs w:val="24"/>
        </w:rPr>
        <w:t xml:space="preserve">: </w:t>
      </w:r>
      <w:r>
        <w:rPr>
          <w:rFonts w:ascii="Times New Roman" w:hAnsi="Times New Roman" w:cs="Times New Roman"/>
          <w:sz w:val="24"/>
          <w:szCs w:val="24"/>
        </w:rPr>
        <w:t>author’s own processing using</w:t>
      </w:r>
      <w:r w:rsidR="004916E9" w:rsidRPr="008F00C9">
        <w:rPr>
          <w:rFonts w:ascii="Times New Roman" w:hAnsi="Times New Roman" w:cs="Times New Roman"/>
          <w:sz w:val="24"/>
          <w:szCs w:val="24"/>
        </w:rPr>
        <w:t xml:space="preserve"> Frontier Economics, 2013, p. 15</w:t>
      </w:r>
      <w:r>
        <w:rPr>
          <w:rFonts w:ascii="Times New Roman" w:hAnsi="Times New Roman" w:cs="Times New Roman"/>
          <w:sz w:val="24"/>
          <w:szCs w:val="24"/>
        </w:rPr>
        <w:t xml:space="preserve"> referrences</w:t>
      </w:r>
    </w:p>
    <w:p w:rsidR="004916E9" w:rsidRDefault="00F97830" w:rsidP="004916E9">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Summarizing, the potential impact of private equity investments may be defined by:</w:t>
      </w:r>
    </w:p>
    <w:p w:rsidR="00F97830" w:rsidRPr="00F97830" w:rsidRDefault="00F97830" w:rsidP="00F97830">
      <w:pPr>
        <w:pStyle w:val="ListParagraph"/>
        <w:numPr>
          <w:ilvl w:val="0"/>
          <w:numId w:val="24"/>
        </w:numPr>
        <w:spacing w:after="120" w:line="240" w:lineRule="auto"/>
        <w:ind w:left="0" w:firstLine="420"/>
        <w:jc w:val="both"/>
        <w:rPr>
          <w:rFonts w:ascii="Times New Roman" w:hAnsi="Times New Roman" w:cs="Times New Roman"/>
          <w:sz w:val="24"/>
          <w:szCs w:val="24"/>
        </w:rPr>
      </w:pPr>
      <w:r>
        <w:rPr>
          <w:rFonts w:ascii="Times New Roman" w:hAnsi="Times New Roman" w:cs="Times New Roman"/>
          <w:sz w:val="24"/>
          <w:szCs w:val="24"/>
        </w:rPr>
        <w:t>s</w:t>
      </w:r>
      <w:r w:rsidRPr="00F97830">
        <w:rPr>
          <w:rFonts w:ascii="Times New Roman" w:hAnsi="Times New Roman" w:cs="Times New Roman"/>
          <w:sz w:val="24"/>
          <w:szCs w:val="24"/>
        </w:rPr>
        <w:t>upporting and pr</w:t>
      </w:r>
      <w:r>
        <w:rPr>
          <w:rFonts w:ascii="Times New Roman" w:hAnsi="Times New Roman" w:cs="Times New Roman"/>
          <w:sz w:val="24"/>
          <w:szCs w:val="24"/>
        </w:rPr>
        <w:t>omoting innovation</w:t>
      </w:r>
      <w:r w:rsidRPr="00F97830">
        <w:rPr>
          <w:rFonts w:ascii="Times New Roman" w:hAnsi="Times New Roman" w:cs="Times New Roman"/>
          <w:sz w:val="24"/>
          <w:szCs w:val="24"/>
        </w:rPr>
        <w:t xml:space="preserve"> as long as the investments </w:t>
      </w:r>
      <w:r>
        <w:rPr>
          <w:rFonts w:ascii="Times New Roman" w:hAnsi="Times New Roman" w:cs="Times New Roman"/>
          <w:sz w:val="24"/>
          <w:szCs w:val="24"/>
        </w:rPr>
        <w:t>support an</w:t>
      </w:r>
      <w:r w:rsidRPr="00F97830">
        <w:rPr>
          <w:rFonts w:ascii="Times New Roman" w:hAnsi="Times New Roman" w:cs="Times New Roman"/>
          <w:sz w:val="24"/>
          <w:szCs w:val="24"/>
        </w:rPr>
        <w:t xml:space="preserve"> excess of 80% of</w:t>
      </w:r>
      <w:r>
        <w:rPr>
          <w:rFonts w:ascii="Times New Roman" w:hAnsi="Times New Roman" w:cs="Times New Roman"/>
          <w:sz w:val="24"/>
          <w:szCs w:val="24"/>
        </w:rPr>
        <w:t xml:space="preserve"> the budgets</w:t>
      </w:r>
      <w:r w:rsidRPr="00F97830">
        <w:rPr>
          <w:rFonts w:ascii="Times New Roman" w:hAnsi="Times New Roman" w:cs="Times New Roman"/>
          <w:sz w:val="24"/>
          <w:szCs w:val="24"/>
        </w:rPr>
        <w:t xml:space="preserve"> for research and development and innovation</w:t>
      </w:r>
      <w:r>
        <w:rPr>
          <w:rFonts w:ascii="Times New Roman" w:hAnsi="Times New Roman" w:cs="Times New Roman"/>
          <w:sz w:val="24"/>
          <w:szCs w:val="24"/>
        </w:rPr>
        <w:t xml:space="preserve">, all being around </w:t>
      </w:r>
      <w:r w:rsidRPr="00F97830">
        <w:rPr>
          <w:rFonts w:ascii="Times New Roman" w:hAnsi="Times New Roman" w:cs="Times New Roman"/>
          <w:sz w:val="24"/>
          <w:szCs w:val="24"/>
        </w:rPr>
        <w:t xml:space="preserve">40% of the </w:t>
      </w:r>
      <w:r>
        <w:rPr>
          <w:rFonts w:ascii="Times New Roman" w:hAnsi="Times New Roman" w:cs="Times New Roman"/>
          <w:sz w:val="24"/>
          <w:szCs w:val="24"/>
        </w:rPr>
        <w:t xml:space="preserve">capital raised </w:t>
      </w:r>
      <w:r w:rsidRPr="00F97830">
        <w:rPr>
          <w:rFonts w:ascii="Times New Roman" w:hAnsi="Times New Roman" w:cs="Times New Roman"/>
          <w:sz w:val="24"/>
          <w:szCs w:val="24"/>
        </w:rPr>
        <w:t>from risk capita</w:t>
      </w:r>
      <w:r>
        <w:rPr>
          <w:rFonts w:ascii="Times New Roman" w:hAnsi="Times New Roman" w:cs="Times New Roman"/>
          <w:sz w:val="24"/>
          <w:szCs w:val="24"/>
        </w:rPr>
        <w:t>l financing</w:t>
      </w:r>
      <w:r w:rsidRPr="00F97830">
        <w:rPr>
          <w:rFonts w:ascii="Times New Roman" w:hAnsi="Times New Roman" w:cs="Times New Roman"/>
          <w:sz w:val="24"/>
          <w:szCs w:val="24"/>
        </w:rPr>
        <w:t>;</w:t>
      </w:r>
    </w:p>
    <w:p w:rsidR="00F97830" w:rsidRPr="00F97830" w:rsidRDefault="00F97830" w:rsidP="00F97830">
      <w:pPr>
        <w:pStyle w:val="ListParagraph"/>
        <w:numPr>
          <w:ilvl w:val="0"/>
          <w:numId w:val="24"/>
        </w:numPr>
        <w:spacing w:after="120" w:line="240" w:lineRule="auto"/>
        <w:ind w:left="0" w:firstLine="420"/>
        <w:jc w:val="both"/>
        <w:rPr>
          <w:rFonts w:ascii="Times New Roman" w:hAnsi="Times New Roman" w:cs="Times New Roman"/>
          <w:sz w:val="24"/>
          <w:szCs w:val="24"/>
        </w:rPr>
      </w:pPr>
      <w:r>
        <w:rPr>
          <w:rFonts w:ascii="Times New Roman" w:hAnsi="Times New Roman" w:cs="Times New Roman"/>
          <w:sz w:val="24"/>
          <w:szCs w:val="24"/>
        </w:rPr>
        <w:t>increasing productivity</w:t>
      </w:r>
      <w:r w:rsidRPr="00F97830">
        <w:rPr>
          <w:rFonts w:ascii="Times New Roman" w:hAnsi="Times New Roman" w:cs="Times New Roman"/>
          <w:sz w:val="24"/>
          <w:szCs w:val="24"/>
        </w:rPr>
        <w:t xml:space="preserve"> by implementing new technologies, products or services. </w:t>
      </w:r>
      <w:r>
        <w:rPr>
          <w:rFonts w:ascii="Times New Roman" w:hAnsi="Times New Roman" w:cs="Times New Roman"/>
          <w:sz w:val="24"/>
          <w:szCs w:val="24"/>
        </w:rPr>
        <w:t>New developments and innovation implementation</w:t>
      </w:r>
      <w:r w:rsidRPr="00F97830">
        <w:rPr>
          <w:rFonts w:ascii="Times New Roman" w:hAnsi="Times New Roman" w:cs="Times New Roman"/>
          <w:sz w:val="24"/>
          <w:szCs w:val="24"/>
        </w:rPr>
        <w:t xml:space="preserve"> in production and management become effective </w:t>
      </w:r>
      <w:r>
        <w:rPr>
          <w:rFonts w:ascii="Times New Roman" w:hAnsi="Times New Roman" w:cs="Times New Roman"/>
          <w:sz w:val="24"/>
          <w:szCs w:val="24"/>
        </w:rPr>
        <w:t xml:space="preserve">solutions to </w:t>
      </w:r>
      <w:r w:rsidRPr="00F97830">
        <w:rPr>
          <w:rFonts w:ascii="Times New Roman" w:hAnsi="Times New Roman" w:cs="Times New Roman"/>
          <w:sz w:val="24"/>
          <w:szCs w:val="24"/>
        </w:rPr>
        <w:t xml:space="preserve">use </w:t>
      </w:r>
      <w:r>
        <w:rPr>
          <w:rFonts w:ascii="Times New Roman" w:hAnsi="Times New Roman" w:cs="Times New Roman"/>
          <w:sz w:val="24"/>
          <w:szCs w:val="24"/>
        </w:rPr>
        <w:t>limited</w:t>
      </w:r>
      <w:r w:rsidRPr="00F97830">
        <w:rPr>
          <w:rFonts w:ascii="Times New Roman" w:hAnsi="Times New Roman" w:cs="Times New Roman"/>
          <w:sz w:val="24"/>
          <w:szCs w:val="24"/>
        </w:rPr>
        <w:t xml:space="preserve"> resources </w:t>
      </w:r>
      <w:r>
        <w:rPr>
          <w:rFonts w:ascii="Times New Roman" w:hAnsi="Times New Roman" w:cs="Times New Roman"/>
          <w:sz w:val="24"/>
          <w:szCs w:val="24"/>
        </w:rPr>
        <w:t>for multiplying effects</w:t>
      </w:r>
      <w:r w:rsidRPr="00F97830">
        <w:rPr>
          <w:rFonts w:ascii="Times New Roman" w:hAnsi="Times New Roman" w:cs="Times New Roman"/>
          <w:sz w:val="24"/>
          <w:szCs w:val="24"/>
        </w:rPr>
        <w:t>;</w:t>
      </w:r>
    </w:p>
    <w:p w:rsidR="00F97830" w:rsidRDefault="00F97830" w:rsidP="00F97830">
      <w:pPr>
        <w:pStyle w:val="ListParagraph"/>
        <w:numPr>
          <w:ilvl w:val="0"/>
          <w:numId w:val="24"/>
        </w:numPr>
        <w:spacing w:after="120" w:line="240" w:lineRule="auto"/>
        <w:ind w:left="0" w:firstLine="420"/>
        <w:jc w:val="both"/>
        <w:rPr>
          <w:rFonts w:ascii="Times New Roman" w:hAnsi="Times New Roman" w:cs="Times New Roman"/>
          <w:sz w:val="24"/>
          <w:szCs w:val="24"/>
        </w:rPr>
      </w:pPr>
      <w:r>
        <w:rPr>
          <w:rFonts w:ascii="Times New Roman" w:hAnsi="Times New Roman" w:cs="Times New Roman"/>
          <w:sz w:val="24"/>
          <w:szCs w:val="24"/>
        </w:rPr>
        <w:t>i</w:t>
      </w:r>
      <w:r w:rsidRPr="00F97830">
        <w:rPr>
          <w:rFonts w:ascii="Times New Roman" w:hAnsi="Times New Roman" w:cs="Times New Roman"/>
          <w:sz w:val="24"/>
          <w:szCs w:val="24"/>
        </w:rPr>
        <w:t>ncreasing competitiveness as a direct result of the competitive advantages arising from implementation of new technologies.</w:t>
      </w:r>
    </w:p>
    <w:p w:rsidR="00F97830" w:rsidRDefault="00F97830" w:rsidP="00F9783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Romania, private equity financing alternative </w:t>
      </w:r>
      <w:r w:rsidRPr="00F97830">
        <w:rPr>
          <w:rFonts w:ascii="Times New Roman" w:hAnsi="Times New Roman" w:cs="Times New Roman"/>
          <w:sz w:val="24"/>
          <w:szCs w:val="24"/>
        </w:rPr>
        <w:t>b</w:t>
      </w:r>
      <w:r w:rsidR="0033747B">
        <w:rPr>
          <w:rFonts w:ascii="Times New Roman" w:hAnsi="Times New Roman" w:cs="Times New Roman"/>
          <w:sz w:val="24"/>
          <w:szCs w:val="24"/>
        </w:rPr>
        <w:t>egan to develop only after 2000</w:t>
      </w:r>
      <w:r w:rsidRPr="00F97830">
        <w:rPr>
          <w:rFonts w:ascii="Times New Roman" w:hAnsi="Times New Roman" w:cs="Times New Roman"/>
          <w:sz w:val="24"/>
          <w:szCs w:val="24"/>
        </w:rPr>
        <w:t xml:space="preserve">, </w:t>
      </w:r>
      <w:r w:rsidR="0033747B">
        <w:rPr>
          <w:rFonts w:ascii="Times New Roman" w:hAnsi="Times New Roman" w:cs="Times New Roman"/>
          <w:sz w:val="24"/>
          <w:szCs w:val="24"/>
        </w:rPr>
        <w:t>being a</w:t>
      </w:r>
      <w:r w:rsidRPr="00F97830">
        <w:rPr>
          <w:rFonts w:ascii="Times New Roman" w:hAnsi="Times New Roman" w:cs="Times New Roman"/>
          <w:sz w:val="24"/>
          <w:szCs w:val="24"/>
        </w:rPr>
        <w:t xml:space="preserve"> young sector b</w:t>
      </w:r>
      <w:r w:rsidR="0033747B">
        <w:rPr>
          <w:rFonts w:ascii="Times New Roman" w:hAnsi="Times New Roman" w:cs="Times New Roman"/>
          <w:sz w:val="24"/>
          <w:szCs w:val="24"/>
        </w:rPr>
        <w:t>ut with an extremely high growing</w:t>
      </w:r>
      <w:r w:rsidRPr="00F97830">
        <w:rPr>
          <w:rFonts w:ascii="Times New Roman" w:hAnsi="Times New Roman" w:cs="Times New Roman"/>
          <w:sz w:val="24"/>
          <w:szCs w:val="24"/>
        </w:rPr>
        <w:t xml:space="preserve"> potential. </w:t>
      </w:r>
      <w:r w:rsidR="0033747B">
        <w:rPr>
          <w:rFonts w:ascii="Times New Roman" w:hAnsi="Times New Roman" w:cs="Times New Roman"/>
          <w:sz w:val="24"/>
          <w:szCs w:val="24"/>
        </w:rPr>
        <w:t>Even if this market</w:t>
      </w:r>
      <w:r w:rsidRPr="00F97830">
        <w:rPr>
          <w:rFonts w:ascii="Times New Roman" w:hAnsi="Times New Roman" w:cs="Times New Roman"/>
          <w:sz w:val="24"/>
          <w:szCs w:val="24"/>
        </w:rPr>
        <w:t xml:space="preserve"> is at an early stage</w:t>
      </w:r>
      <w:r w:rsidR="0033747B">
        <w:rPr>
          <w:rFonts w:ascii="Times New Roman" w:hAnsi="Times New Roman" w:cs="Times New Roman"/>
          <w:sz w:val="24"/>
          <w:szCs w:val="24"/>
        </w:rPr>
        <w:t xml:space="preserve"> development, it has</w:t>
      </w:r>
      <w:r w:rsidRPr="00F97830">
        <w:rPr>
          <w:rFonts w:ascii="Times New Roman" w:hAnsi="Times New Roman" w:cs="Times New Roman"/>
          <w:sz w:val="24"/>
          <w:szCs w:val="24"/>
        </w:rPr>
        <w:t xml:space="preserve"> already registered </w:t>
      </w:r>
      <w:r w:rsidR="0033747B">
        <w:rPr>
          <w:rFonts w:ascii="Times New Roman" w:hAnsi="Times New Roman" w:cs="Times New Roman"/>
          <w:sz w:val="24"/>
          <w:szCs w:val="24"/>
        </w:rPr>
        <w:t>examples that</w:t>
      </w:r>
      <w:r w:rsidRPr="00F97830">
        <w:rPr>
          <w:rFonts w:ascii="Times New Roman" w:hAnsi="Times New Roman" w:cs="Times New Roman"/>
          <w:sz w:val="24"/>
          <w:szCs w:val="24"/>
        </w:rPr>
        <w:t xml:space="preserve"> proved </w:t>
      </w:r>
      <w:r w:rsidR="0033747B">
        <w:rPr>
          <w:rFonts w:ascii="Times New Roman" w:hAnsi="Times New Roman" w:cs="Times New Roman"/>
          <w:sz w:val="24"/>
          <w:szCs w:val="24"/>
        </w:rPr>
        <w:t xml:space="preserve">to be </w:t>
      </w:r>
      <w:r w:rsidRPr="00F97830">
        <w:rPr>
          <w:rFonts w:ascii="Times New Roman" w:hAnsi="Times New Roman" w:cs="Times New Roman"/>
          <w:sz w:val="24"/>
          <w:szCs w:val="24"/>
        </w:rPr>
        <w:t>profitable and able to develop the European</w:t>
      </w:r>
      <w:r w:rsidR="0033747B">
        <w:rPr>
          <w:rFonts w:ascii="Times New Roman" w:hAnsi="Times New Roman" w:cs="Times New Roman"/>
          <w:sz w:val="24"/>
          <w:szCs w:val="24"/>
        </w:rPr>
        <w:t xml:space="preserve"> market wide (Vasilescu Giurcă &amp; Simion 2009)</w:t>
      </w:r>
      <w:r w:rsidRPr="00F97830">
        <w:rPr>
          <w:rFonts w:ascii="Times New Roman" w:hAnsi="Times New Roman" w:cs="Times New Roman"/>
          <w:sz w:val="24"/>
          <w:szCs w:val="24"/>
        </w:rPr>
        <w:t>.</w:t>
      </w:r>
    </w:p>
    <w:p w:rsidR="0033747B" w:rsidRPr="0033747B" w:rsidRDefault="0033747B" w:rsidP="0033747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Eyeing the Romanian market, i</w:t>
      </w:r>
      <w:r w:rsidRPr="0033747B">
        <w:rPr>
          <w:rFonts w:ascii="Times New Roman" w:hAnsi="Times New Roman" w:cs="Times New Roman"/>
          <w:sz w:val="24"/>
          <w:szCs w:val="24"/>
        </w:rPr>
        <w:t>nternational</w:t>
      </w:r>
      <w:r>
        <w:rPr>
          <w:rFonts w:ascii="Times New Roman" w:hAnsi="Times New Roman" w:cs="Times New Roman"/>
          <w:sz w:val="24"/>
          <w:szCs w:val="24"/>
        </w:rPr>
        <w:t xml:space="preserve"> players such as Advent International (</w:t>
      </w:r>
      <w:r w:rsidRPr="0033747B">
        <w:rPr>
          <w:rFonts w:ascii="Times New Roman" w:hAnsi="Times New Roman" w:cs="Times New Roman"/>
          <w:sz w:val="24"/>
          <w:szCs w:val="24"/>
        </w:rPr>
        <w:t>holds the</w:t>
      </w:r>
      <w:r>
        <w:rPr>
          <w:rFonts w:ascii="Times New Roman" w:hAnsi="Times New Roman" w:cs="Times New Roman"/>
          <w:sz w:val="24"/>
          <w:szCs w:val="24"/>
        </w:rPr>
        <w:t xml:space="preserve"> largest investments in Romania</w:t>
      </w:r>
      <w:r w:rsidRPr="0033747B">
        <w:rPr>
          <w:rFonts w:ascii="Times New Roman" w:hAnsi="Times New Roman" w:cs="Times New Roman"/>
          <w:sz w:val="24"/>
          <w:szCs w:val="24"/>
        </w:rPr>
        <w:t xml:space="preserve"> with investments of hundreds of millions of euros in companies</w:t>
      </w:r>
      <w:r>
        <w:rPr>
          <w:rFonts w:ascii="Times New Roman" w:hAnsi="Times New Roman" w:cs="Times New Roman"/>
          <w:sz w:val="24"/>
          <w:szCs w:val="24"/>
        </w:rPr>
        <w:t xml:space="preserve"> like</w:t>
      </w:r>
      <w:r w:rsidRPr="0033747B">
        <w:rPr>
          <w:rFonts w:ascii="Times New Roman" w:hAnsi="Times New Roman" w:cs="Times New Roman"/>
          <w:sz w:val="24"/>
          <w:szCs w:val="24"/>
        </w:rPr>
        <w:t xml:space="preserve"> </w:t>
      </w:r>
      <w:r>
        <w:rPr>
          <w:rFonts w:ascii="Times New Roman" w:hAnsi="Times New Roman" w:cs="Times New Roman"/>
          <w:sz w:val="24"/>
          <w:szCs w:val="24"/>
        </w:rPr>
        <w:t>Brewery Holdings, Vodafone, Euromedia</w:t>
      </w:r>
      <w:r w:rsidRPr="0033747B">
        <w:rPr>
          <w:rFonts w:ascii="Times New Roman" w:hAnsi="Times New Roman" w:cs="Times New Roman"/>
          <w:sz w:val="24"/>
          <w:szCs w:val="24"/>
        </w:rPr>
        <w:t xml:space="preserve">, </w:t>
      </w:r>
      <w:r>
        <w:rPr>
          <w:rFonts w:ascii="Times New Roman" w:hAnsi="Times New Roman" w:cs="Times New Roman"/>
          <w:sz w:val="24"/>
          <w:szCs w:val="24"/>
        </w:rPr>
        <w:t>Terapia and Dufa), AIG, GED Enterprise Investors</w:t>
      </w:r>
      <w:r w:rsidRPr="0033747B">
        <w:rPr>
          <w:rFonts w:ascii="Times New Roman" w:hAnsi="Times New Roman" w:cs="Times New Roman"/>
          <w:sz w:val="24"/>
          <w:szCs w:val="24"/>
        </w:rPr>
        <w:t xml:space="preserve">, Innova Capital Oresa Ventures </w:t>
      </w:r>
      <w:r>
        <w:rPr>
          <w:rFonts w:ascii="Times New Roman" w:hAnsi="Times New Roman" w:cs="Times New Roman"/>
          <w:sz w:val="24"/>
          <w:szCs w:val="24"/>
        </w:rPr>
        <w:t>have not underestimated the market’s potential and succeded to</w:t>
      </w:r>
      <w:r w:rsidRPr="0033747B">
        <w:rPr>
          <w:rFonts w:ascii="Times New Roman" w:hAnsi="Times New Roman" w:cs="Times New Roman"/>
          <w:sz w:val="24"/>
          <w:szCs w:val="24"/>
        </w:rPr>
        <w:t xml:space="preserve"> ensure earnings of tens of millions of euros and multiplications up to 126 times (</w:t>
      </w:r>
      <w:r>
        <w:rPr>
          <w:rFonts w:ascii="Times New Roman" w:hAnsi="Times New Roman" w:cs="Times New Roman"/>
          <w:sz w:val="24"/>
          <w:szCs w:val="24"/>
        </w:rPr>
        <w:t xml:space="preserve">e.g. the case of </w:t>
      </w:r>
      <w:r w:rsidRPr="0033747B">
        <w:rPr>
          <w:rFonts w:ascii="Times New Roman" w:hAnsi="Times New Roman" w:cs="Times New Roman"/>
          <w:sz w:val="24"/>
          <w:szCs w:val="24"/>
        </w:rPr>
        <w:t xml:space="preserve">Flanco </w:t>
      </w:r>
      <w:r>
        <w:rPr>
          <w:rFonts w:ascii="Times New Roman" w:hAnsi="Times New Roman" w:cs="Times New Roman"/>
          <w:sz w:val="24"/>
          <w:szCs w:val="24"/>
        </w:rPr>
        <w:t xml:space="preserve">and Flamingo merging within </w:t>
      </w:r>
      <w:r w:rsidRPr="0033747B">
        <w:rPr>
          <w:rFonts w:ascii="Times New Roman" w:hAnsi="Times New Roman" w:cs="Times New Roman"/>
          <w:sz w:val="24"/>
          <w:szCs w:val="24"/>
        </w:rPr>
        <w:t>Oresa investments</w:t>
      </w:r>
      <w:r>
        <w:rPr>
          <w:rFonts w:ascii="Times New Roman" w:hAnsi="Times New Roman" w:cs="Times New Roman"/>
          <w:sz w:val="24"/>
          <w:szCs w:val="24"/>
        </w:rPr>
        <w:t xml:space="preserve"> financing</w:t>
      </w:r>
      <w:r w:rsidRPr="0033747B">
        <w:rPr>
          <w:rFonts w:ascii="Times New Roman" w:hAnsi="Times New Roman" w:cs="Times New Roman"/>
          <w:sz w:val="24"/>
          <w:szCs w:val="24"/>
        </w:rPr>
        <w:t>).</w:t>
      </w:r>
    </w:p>
    <w:p w:rsidR="00AA1D41" w:rsidRDefault="00AA1D41" w:rsidP="004916E9">
      <w:pPr>
        <w:autoSpaceDE w:val="0"/>
        <w:autoSpaceDN w:val="0"/>
        <w:adjustRightInd w:val="0"/>
        <w:spacing w:after="60" w:line="240" w:lineRule="auto"/>
        <w:jc w:val="both"/>
        <w:rPr>
          <w:rFonts w:ascii="Times New Roman" w:hAnsi="Times New Roman" w:cs="Times New Roman"/>
          <w:spacing w:val="-2"/>
          <w:sz w:val="24"/>
          <w:szCs w:val="24"/>
        </w:rPr>
      </w:pPr>
      <w:r w:rsidRPr="00AA1D41">
        <w:rPr>
          <w:rFonts w:ascii="Times New Roman" w:hAnsi="Times New Roman" w:cs="Times New Roman"/>
          <w:spacing w:val="-2"/>
          <w:sz w:val="24"/>
          <w:szCs w:val="24"/>
        </w:rPr>
        <w:t>In a simplified</w:t>
      </w:r>
      <w:r>
        <w:rPr>
          <w:rFonts w:ascii="Times New Roman" w:hAnsi="Times New Roman" w:cs="Times New Roman"/>
          <w:spacing w:val="-2"/>
          <w:sz w:val="24"/>
          <w:szCs w:val="24"/>
        </w:rPr>
        <w:t xml:space="preserve"> approach these funds have accessed </w:t>
      </w:r>
      <w:r w:rsidRPr="00AA1D41">
        <w:rPr>
          <w:rFonts w:ascii="Times New Roman" w:hAnsi="Times New Roman" w:cs="Times New Roman"/>
          <w:spacing w:val="-2"/>
          <w:sz w:val="24"/>
          <w:szCs w:val="24"/>
        </w:rPr>
        <w:t xml:space="preserve">Romanian market and have multiplied </w:t>
      </w:r>
      <w:r>
        <w:rPr>
          <w:rFonts w:ascii="Times New Roman" w:hAnsi="Times New Roman" w:cs="Times New Roman"/>
          <w:spacing w:val="-2"/>
          <w:sz w:val="24"/>
          <w:szCs w:val="24"/>
        </w:rPr>
        <w:t>their initial investments</w:t>
      </w:r>
      <w:r w:rsidRPr="00AA1D41">
        <w:rPr>
          <w:rFonts w:ascii="Times New Roman" w:hAnsi="Times New Roman" w:cs="Times New Roman"/>
          <w:spacing w:val="-2"/>
          <w:sz w:val="24"/>
          <w:szCs w:val="24"/>
        </w:rPr>
        <w:t xml:space="preserve"> up to 5 times</w:t>
      </w:r>
      <w:r>
        <w:rPr>
          <w:rFonts w:ascii="Times New Roman" w:hAnsi="Times New Roman" w:cs="Times New Roman"/>
          <w:spacing w:val="-2"/>
          <w:sz w:val="24"/>
          <w:szCs w:val="24"/>
        </w:rPr>
        <w:t xml:space="preserve"> (Radu 2010b</w:t>
      </w:r>
      <w:r w:rsidRPr="00AA1D41">
        <w:rPr>
          <w:rFonts w:ascii="Times New Roman" w:hAnsi="Times New Roman" w:cs="Times New Roman"/>
          <w:spacing w:val="-2"/>
          <w:sz w:val="24"/>
          <w:szCs w:val="24"/>
        </w:rPr>
        <w:t xml:space="preserve">) as </w:t>
      </w:r>
      <w:r>
        <w:rPr>
          <w:rFonts w:ascii="Times New Roman" w:hAnsi="Times New Roman" w:cs="Times New Roman"/>
          <w:spacing w:val="-2"/>
          <w:sz w:val="24"/>
          <w:szCs w:val="24"/>
        </w:rPr>
        <w:t>shown in Table 4.2. and Appendix 21.</w:t>
      </w:r>
    </w:p>
    <w:p w:rsidR="00954A28" w:rsidRDefault="00954A28" w:rsidP="004916E9">
      <w:pPr>
        <w:autoSpaceDE w:val="0"/>
        <w:autoSpaceDN w:val="0"/>
        <w:adjustRightInd w:val="0"/>
        <w:spacing w:after="60" w:line="240" w:lineRule="auto"/>
        <w:jc w:val="both"/>
        <w:rPr>
          <w:rFonts w:ascii="Times New Roman" w:hAnsi="Times New Roman" w:cs="Times New Roman"/>
          <w:spacing w:val="-2"/>
          <w:sz w:val="24"/>
          <w:szCs w:val="24"/>
        </w:rPr>
      </w:pPr>
    </w:p>
    <w:p w:rsidR="0033747B" w:rsidRPr="008F00C9" w:rsidRDefault="0033747B" w:rsidP="004916E9">
      <w:pPr>
        <w:autoSpaceDE w:val="0"/>
        <w:autoSpaceDN w:val="0"/>
        <w:adjustRightInd w:val="0"/>
        <w:spacing w:after="60" w:line="240" w:lineRule="auto"/>
        <w:jc w:val="both"/>
        <w:rPr>
          <w:rFonts w:ascii="Times New Roman" w:hAnsi="Times New Roman" w:cs="Times New Roman"/>
          <w:spacing w:val="-2"/>
          <w:sz w:val="24"/>
          <w:szCs w:val="24"/>
        </w:rPr>
      </w:pPr>
    </w:p>
    <w:p w:rsidR="004916E9" w:rsidRPr="00243D64" w:rsidRDefault="004916E9" w:rsidP="00954A28">
      <w:pPr>
        <w:pStyle w:val="Caption"/>
        <w:spacing w:before="0" w:beforeAutospacing="0" w:after="0" w:afterAutospacing="0"/>
        <w:rPr>
          <w:b/>
          <w:sz w:val="22"/>
        </w:rPr>
      </w:pPr>
      <w:bookmarkStart w:id="29" w:name="_Toc449385160"/>
      <w:r w:rsidRPr="00243D64">
        <w:rPr>
          <w:b/>
          <w:sz w:val="22"/>
        </w:rPr>
        <w:lastRenderedPageBreak/>
        <w:t>Tabl</w:t>
      </w:r>
      <w:r w:rsidR="00243D64">
        <w:rPr>
          <w:b/>
          <w:sz w:val="22"/>
        </w:rPr>
        <w:t>e</w:t>
      </w:r>
      <w:r w:rsidRPr="00243D64">
        <w:rPr>
          <w:b/>
          <w:sz w:val="22"/>
        </w:rPr>
        <w:t xml:space="preserve"> 4. </w:t>
      </w:r>
      <w:r w:rsidR="004B4616" w:rsidRPr="00243D64">
        <w:rPr>
          <w:b/>
          <w:sz w:val="22"/>
        </w:rPr>
        <w:fldChar w:fldCharType="begin"/>
      </w:r>
      <w:r w:rsidRPr="00243D64">
        <w:rPr>
          <w:b/>
          <w:sz w:val="22"/>
        </w:rPr>
        <w:instrText xml:space="preserve"> SEQ Tabel_4. \* ARABIC </w:instrText>
      </w:r>
      <w:r w:rsidR="004B4616" w:rsidRPr="00243D64">
        <w:rPr>
          <w:b/>
          <w:sz w:val="22"/>
        </w:rPr>
        <w:fldChar w:fldCharType="separate"/>
      </w:r>
      <w:r w:rsidR="00695698" w:rsidRPr="00243D64">
        <w:rPr>
          <w:b/>
          <w:noProof/>
          <w:sz w:val="22"/>
        </w:rPr>
        <w:t>2</w:t>
      </w:r>
      <w:r w:rsidR="004B4616" w:rsidRPr="00243D64">
        <w:rPr>
          <w:b/>
          <w:sz w:val="22"/>
        </w:rPr>
        <w:fldChar w:fldCharType="end"/>
      </w:r>
      <w:r w:rsidRPr="00243D64">
        <w:rPr>
          <w:b/>
          <w:sz w:val="22"/>
        </w:rPr>
        <w:t xml:space="preserve"> </w:t>
      </w:r>
      <w:bookmarkEnd w:id="29"/>
      <w:r w:rsidR="00243D64" w:rsidRPr="00243D64">
        <w:rPr>
          <w:b/>
          <w:sz w:val="22"/>
        </w:rPr>
        <w:t xml:space="preserve">Summary of main private equity investments in Romanian market and their results </w:t>
      </w:r>
    </w:p>
    <w:p w:rsidR="004916E9" w:rsidRPr="008F00C9" w:rsidRDefault="004916E9" w:rsidP="004916E9">
      <w:pPr>
        <w:pStyle w:val="Caption"/>
        <w:numPr>
          <w:ilvl w:val="0"/>
          <w:numId w:val="24"/>
        </w:numPr>
        <w:spacing w:before="120" w:beforeAutospacing="0" w:after="0" w:afterAutospacing="0"/>
      </w:pPr>
      <w:r w:rsidRPr="008F00C9">
        <w:t>ADVENT INTERNATIONAL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1"/>
        <w:gridCol w:w="1375"/>
        <w:gridCol w:w="1176"/>
        <w:gridCol w:w="1047"/>
        <w:gridCol w:w="987"/>
        <w:gridCol w:w="1330"/>
        <w:gridCol w:w="1083"/>
        <w:gridCol w:w="1437"/>
      </w:tblGrid>
      <w:tr w:rsidR="00954A28" w:rsidRPr="008F00C9" w:rsidTr="00695698">
        <w:tc>
          <w:tcPr>
            <w:tcW w:w="599" w:type="pct"/>
          </w:tcPr>
          <w:p w:rsidR="004916E9" w:rsidRPr="008F00C9" w:rsidRDefault="00954A28" w:rsidP="00695698">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Financing entity</w:t>
            </w:r>
          </w:p>
        </w:tc>
        <w:tc>
          <w:tcPr>
            <w:tcW w:w="721" w:type="pct"/>
          </w:tcPr>
          <w:p w:rsidR="004916E9" w:rsidRPr="008F00C9" w:rsidRDefault="004916E9" w:rsidP="00695698">
            <w:pPr>
              <w:spacing w:after="0" w:line="240" w:lineRule="auto"/>
              <w:jc w:val="both"/>
              <w:rPr>
                <w:rFonts w:ascii="Times New Roman" w:hAnsi="Times New Roman" w:cs="Times New Roman"/>
                <w:b/>
                <w:i/>
                <w:sz w:val="18"/>
                <w:szCs w:val="20"/>
              </w:rPr>
            </w:pPr>
            <w:r w:rsidRPr="008F00C9">
              <w:rPr>
                <w:rFonts w:ascii="Times New Roman" w:hAnsi="Times New Roman" w:cs="Times New Roman"/>
                <w:b/>
                <w:i/>
                <w:sz w:val="18"/>
                <w:szCs w:val="20"/>
              </w:rPr>
              <w:t xml:space="preserve">Sector </w:t>
            </w:r>
          </w:p>
        </w:tc>
        <w:tc>
          <w:tcPr>
            <w:tcW w:w="617" w:type="pct"/>
          </w:tcPr>
          <w:p w:rsidR="004916E9" w:rsidRPr="008F00C9" w:rsidRDefault="004916E9" w:rsidP="00695698">
            <w:pPr>
              <w:spacing w:after="0" w:line="240" w:lineRule="auto"/>
              <w:jc w:val="both"/>
              <w:rPr>
                <w:rFonts w:ascii="Times New Roman" w:hAnsi="Times New Roman" w:cs="Times New Roman"/>
                <w:b/>
                <w:i/>
                <w:sz w:val="18"/>
                <w:szCs w:val="20"/>
              </w:rPr>
            </w:pPr>
            <w:r w:rsidRPr="008F00C9">
              <w:rPr>
                <w:rFonts w:ascii="Times New Roman" w:hAnsi="Times New Roman" w:cs="Times New Roman"/>
                <w:b/>
                <w:i/>
                <w:sz w:val="18"/>
                <w:szCs w:val="20"/>
              </w:rPr>
              <w:t xml:space="preserve">Strategie </w:t>
            </w:r>
          </w:p>
        </w:tc>
        <w:tc>
          <w:tcPr>
            <w:tcW w:w="550" w:type="pct"/>
          </w:tcPr>
          <w:p w:rsidR="004916E9" w:rsidRPr="008F00C9" w:rsidRDefault="00954A28" w:rsidP="00954A28">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Investing amount</w:t>
            </w:r>
          </w:p>
        </w:tc>
        <w:tc>
          <w:tcPr>
            <w:tcW w:w="495" w:type="pct"/>
          </w:tcPr>
          <w:p w:rsidR="004916E9" w:rsidRPr="008F00C9" w:rsidRDefault="00954A28" w:rsidP="00695698">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Multiplied amount</w:t>
            </w:r>
            <w:r w:rsidR="004916E9" w:rsidRPr="008F00C9">
              <w:rPr>
                <w:rFonts w:ascii="Times New Roman" w:hAnsi="Times New Roman" w:cs="Times New Roman"/>
                <w:b/>
                <w:i/>
                <w:sz w:val="18"/>
                <w:szCs w:val="20"/>
              </w:rPr>
              <w:t xml:space="preserve"> </w:t>
            </w:r>
          </w:p>
        </w:tc>
        <w:tc>
          <w:tcPr>
            <w:tcW w:w="697" w:type="pct"/>
          </w:tcPr>
          <w:p w:rsidR="004916E9" w:rsidRPr="008F00C9" w:rsidRDefault="00954A28" w:rsidP="00695698">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Take over partner</w:t>
            </w:r>
          </w:p>
        </w:tc>
        <w:tc>
          <w:tcPr>
            <w:tcW w:w="568" w:type="pct"/>
          </w:tcPr>
          <w:p w:rsidR="004916E9" w:rsidRPr="008F00C9" w:rsidRDefault="00954A28" w:rsidP="00695698">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Investing period</w:t>
            </w:r>
          </w:p>
        </w:tc>
        <w:tc>
          <w:tcPr>
            <w:tcW w:w="753" w:type="pct"/>
          </w:tcPr>
          <w:p w:rsidR="004916E9" w:rsidRPr="008F00C9" w:rsidRDefault="00954A28" w:rsidP="00695698">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Multiplying coeficient</w:t>
            </w:r>
          </w:p>
        </w:tc>
      </w:tr>
      <w:tr w:rsidR="00954A28" w:rsidRPr="008F00C9" w:rsidTr="00695698">
        <w:tc>
          <w:tcPr>
            <w:tcW w:w="599"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Dufa</w:t>
            </w:r>
          </w:p>
        </w:tc>
        <w:tc>
          <w:tcPr>
            <w:tcW w:w="721"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Productie de lacuri si vopseluri</w:t>
            </w:r>
          </w:p>
        </w:tc>
        <w:tc>
          <w:tcPr>
            <w:tcW w:w="617" w:type="pct"/>
          </w:tcPr>
          <w:p w:rsidR="004916E9" w:rsidRPr="008F00C9" w:rsidRDefault="004916E9" w:rsidP="00695698">
            <w:pPr>
              <w:spacing w:after="0" w:line="240" w:lineRule="auto"/>
              <w:jc w:val="center"/>
              <w:rPr>
                <w:rFonts w:ascii="Times New Roman" w:hAnsi="Times New Roman" w:cs="Times New Roman"/>
                <w:i/>
                <w:sz w:val="18"/>
                <w:szCs w:val="20"/>
              </w:rPr>
            </w:pPr>
            <w:r w:rsidRPr="008F00C9">
              <w:rPr>
                <w:rFonts w:ascii="Times New Roman" w:hAnsi="Times New Roman" w:cs="Times New Roman"/>
                <w:i/>
                <w:sz w:val="18"/>
                <w:szCs w:val="20"/>
              </w:rPr>
              <w:t>Buyout</w:t>
            </w:r>
          </w:p>
        </w:tc>
        <w:tc>
          <w:tcPr>
            <w:tcW w:w="550"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(2004) 18 mil EUR</w:t>
            </w:r>
          </w:p>
        </w:tc>
        <w:tc>
          <w:tcPr>
            <w:tcW w:w="495"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(2008) 50 mil EUR</w:t>
            </w:r>
          </w:p>
        </w:tc>
        <w:tc>
          <w:tcPr>
            <w:tcW w:w="697"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Bengross</w:t>
            </w:r>
          </w:p>
        </w:tc>
        <w:tc>
          <w:tcPr>
            <w:tcW w:w="568"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4-5 ani</w:t>
            </w:r>
          </w:p>
        </w:tc>
        <w:tc>
          <w:tcPr>
            <w:tcW w:w="753"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2.78x</w:t>
            </w:r>
          </w:p>
        </w:tc>
      </w:tr>
      <w:tr w:rsidR="00954A28" w:rsidRPr="008F00C9" w:rsidTr="00695698">
        <w:tc>
          <w:tcPr>
            <w:tcW w:w="599"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Terapia Cluj</w:t>
            </w:r>
          </w:p>
        </w:tc>
        <w:tc>
          <w:tcPr>
            <w:tcW w:w="721"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Productie si distib medicamente</w:t>
            </w:r>
          </w:p>
        </w:tc>
        <w:tc>
          <w:tcPr>
            <w:tcW w:w="617" w:type="pct"/>
          </w:tcPr>
          <w:p w:rsidR="004916E9" w:rsidRPr="008F00C9" w:rsidRDefault="004916E9" w:rsidP="00695698">
            <w:pPr>
              <w:spacing w:after="0" w:line="240" w:lineRule="auto"/>
              <w:jc w:val="center"/>
              <w:rPr>
                <w:rFonts w:ascii="Times New Roman" w:hAnsi="Times New Roman" w:cs="Times New Roman"/>
                <w:i/>
                <w:sz w:val="18"/>
                <w:szCs w:val="20"/>
              </w:rPr>
            </w:pPr>
            <w:r w:rsidRPr="008F00C9">
              <w:rPr>
                <w:rFonts w:ascii="Times New Roman" w:hAnsi="Times New Roman" w:cs="Times New Roman"/>
                <w:i/>
                <w:sz w:val="18"/>
                <w:szCs w:val="20"/>
              </w:rPr>
              <w:t>Achizitie si delistare</w:t>
            </w:r>
          </w:p>
        </w:tc>
        <w:tc>
          <w:tcPr>
            <w:tcW w:w="550"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(2003) 49,5 mil USD</w:t>
            </w:r>
          </w:p>
        </w:tc>
        <w:tc>
          <w:tcPr>
            <w:tcW w:w="495"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(2005) 324 mil USD</w:t>
            </w:r>
          </w:p>
        </w:tc>
        <w:tc>
          <w:tcPr>
            <w:tcW w:w="697"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Ranbaxy India</w:t>
            </w:r>
          </w:p>
        </w:tc>
        <w:tc>
          <w:tcPr>
            <w:tcW w:w="568"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2-3 ani</w:t>
            </w:r>
          </w:p>
        </w:tc>
        <w:tc>
          <w:tcPr>
            <w:tcW w:w="753"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6.5x</w:t>
            </w:r>
          </w:p>
        </w:tc>
      </w:tr>
      <w:tr w:rsidR="00954A28" w:rsidRPr="008F00C9" w:rsidTr="00695698">
        <w:tc>
          <w:tcPr>
            <w:tcW w:w="599"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Mobifon Connex</w:t>
            </w:r>
          </w:p>
        </w:tc>
        <w:tc>
          <w:tcPr>
            <w:tcW w:w="721"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Servicii telefonie mobila</w:t>
            </w:r>
          </w:p>
        </w:tc>
        <w:tc>
          <w:tcPr>
            <w:tcW w:w="617" w:type="pct"/>
          </w:tcPr>
          <w:p w:rsidR="004916E9" w:rsidRPr="008F00C9" w:rsidRDefault="004916E9" w:rsidP="00695698">
            <w:pPr>
              <w:spacing w:after="0" w:line="240" w:lineRule="auto"/>
              <w:jc w:val="center"/>
              <w:rPr>
                <w:rFonts w:ascii="Times New Roman" w:hAnsi="Times New Roman" w:cs="Times New Roman"/>
                <w:i/>
                <w:sz w:val="18"/>
                <w:szCs w:val="20"/>
              </w:rPr>
            </w:pPr>
            <w:r w:rsidRPr="008F00C9">
              <w:rPr>
                <w:rFonts w:ascii="Times New Roman" w:hAnsi="Times New Roman" w:cs="Times New Roman"/>
                <w:i/>
                <w:sz w:val="18"/>
                <w:szCs w:val="20"/>
              </w:rPr>
              <w:t>Dezvoltare capital</w:t>
            </w:r>
          </w:p>
        </w:tc>
        <w:tc>
          <w:tcPr>
            <w:tcW w:w="550"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(1997) 85 mil USD</w:t>
            </w:r>
          </w:p>
        </w:tc>
        <w:tc>
          <w:tcPr>
            <w:tcW w:w="495"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(2004) 2,5 -3 mld USD</w:t>
            </w:r>
          </w:p>
        </w:tc>
        <w:tc>
          <w:tcPr>
            <w:tcW w:w="697"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Telesystem International Wireless Vodafone</w:t>
            </w:r>
          </w:p>
        </w:tc>
        <w:tc>
          <w:tcPr>
            <w:tcW w:w="568"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8-9 ani</w:t>
            </w:r>
          </w:p>
        </w:tc>
        <w:tc>
          <w:tcPr>
            <w:tcW w:w="753"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29.4x</w:t>
            </w:r>
          </w:p>
        </w:tc>
      </w:tr>
    </w:tbl>
    <w:p w:rsidR="004916E9" w:rsidRPr="008F00C9" w:rsidRDefault="004916E9" w:rsidP="004916E9">
      <w:pPr>
        <w:pStyle w:val="ListParagraph"/>
        <w:numPr>
          <w:ilvl w:val="0"/>
          <w:numId w:val="24"/>
        </w:numPr>
        <w:spacing w:after="0" w:line="240" w:lineRule="auto"/>
        <w:rPr>
          <w:rFonts w:ascii="Times New Roman" w:hAnsi="Times New Roman"/>
          <w:sz w:val="24"/>
          <w:szCs w:val="24"/>
        </w:rPr>
      </w:pPr>
      <w:r w:rsidRPr="008F00C9">
        <w:rPr>
          <w:rFonts w:ascii="Times New Roman" w:hAnsi="Times New Roman"/>
          <w:sz w:val="24"/>
          <w:szCs w:val="24"/>
        </w:rPr>
        <w:t>AIG INVESTMENTS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5"/>
        <w:gridCol w:w="1120"/>
        <w:gridCol w:w="1163"/>
        <w:gridCol w:w="1182"/>
        <w:gridCol w:w="1103"/>
        <w:gridCol w:w="1201"/>
        <w:gridCol w:w="1094"/>
        <w:gridCol w:w="1448"/>
      </w:tblGrid>
      <w:tr w:rsidR="00954A28" w:rsidRPr="008F00C9" w:rsidTr="00954A28">
        <w:tc>
          <w:tcPr>
            <w:tcW w:w="661" w:type="pct"/>
          </w:tcPr>
          <w:p w:rsidR="00954A28" w:rsidRPr="008F00C9" w:rsidRDefault="00954A28" w:rsidP="00695698">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Financing entity</w:t>
            </w:r>
          </w:p>
        </w:tc>
        <w:tc>
          <w:tcPr>
            <w:tcW w:w="585" w:type="pct"/>
          </w:tcPr>
          <w:p w:rsidR="00954A28" w:rsidRPr="008F00C9" w:rsidRDefault="00954A28" w:rsidP="00695698">
            <w:pPr>
              <w:spacing w:after="0" w:line="240" w:lineRule="auto"/>
              <w:jc w:val="both"/>
              <w:rPr>
                <w:rFonts w:ascii="Times New Roman" w:hAnsi="Times New Roman" w:cs="Times New Roman"/>
                <w:b/>
                <w:i/>
                <w:sz w:val="18"/>
                <w:szCs w:val="20"/>
              </w:rPr>
            </w:pPr>
            <w:r w:rsidRPr="008F00C9">
              <w:rPr>
                <w:rFonts w:ascii="Times New Roman" w:hAnsi="Times New Roman" w:cs="Times New Roman"/>
                <w:b/>
                <w:i/>
                <w:sz w:val="18"/>
                <w:szCs w:val="20"/>
              </w:rPr>
              <w:t xml:space="preserve">Sector </w:t>
            </w:r>
          </w:p>
        </w:tc>
        <w:tc>
          <w:tcPr>
            <w:tcW w:w="607" w:type="pct"/>
          </w:tcPr>
          <w:p w:rsidR="00954A28" w:rsidRPr="008F00C9" w:rsidRDefault="00954A28" w:rsidP="00695698">
            <w:pPr>
              <w:spacing w:after="0" w:line="240" w:lineRule="auto"/>
              <w:jc w:val="both"/>
              <w:rPr>
                <w:rFonts w:ascii="Times New Roman" w:hAnsi="Times New Roman" w:cs="Times New Roman"/>
                <w:b/>
                <w:i/>
                <w:sz w:val="18"/>
                <w:szCs w:val="20"/>
              </w:rPr>
            </w:pPr>
            <w:r w:rsidRPr="008F00C9">
              <w:rPr>
                <w:rFonts w:ascii="Times New Roman" w:hAnsi="Times New Roman" w:cs="Times New Roman"/>
                <w:b/>
                <w:i/>
                <w:sz w:val="18"/>
                <w:szCs w:val="20"/>
              </w:rPr>
              <w:t xml:space="preserve">Strategie </w:t>
            </w:r>
          </w:p>
        </w:tc>
        <w:tc>
          <w:tcPr>
            <w:tcW w:w="617" w:type="pct"/>
          </w:tcPr>
          <w:p w:rsidR="00954A28" w:rsidRPr="008F00C9" w:rsidRDefault="00954A28" w:rsidP="009827AA">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Investing amount</w:t>
            </w:r>
          </w:p>
        </w:tc>
        <w:tc>
          <w:tcPr>
            <w:tcW w:w="576" w:type="pct"/>
          </w:tcPr>
          <w:p w:rsidR="00954A28" w:rsidRPr="008F00C9" w:rsidRDefault="00954A28" w:rsidP="009827AA">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Multiplied amount</w:t>
            </w:r>
            <w:r w:rsidRPr="008F00C9">
              <w:rPr>
                <w:rFonts w:ascii="Times New Roman" w:hAnsi="Times New Roman" w:cs="Times New Roman"/>
                <w:b/>
                <w:i/>
                <w:sz w:val="18"/>
                <w:szCs w:val="20"/>
              </w:rPr>
              <w:t xml:space="preserve"> </w:t>
            </w:r>
          </w:p>
        </w:tc>
        <w:tc>
          <w:tcPr>
            <w:tcW w:w="627" w:type="pct"/>
          </w:tcPr>
          <w:p w:rsidR="00954A28" w:rsidRPr="008F00C9" w:rsidRDefault="00954A28" w:rsidP="009827AA">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Take over partner</w:t>
            </w:r>
          </w:p>
        </w:tc>
        <w:tc>
          <w:tcPr>
            <w:tcW w:w="571" w:type="pct"/>
          </w:tcPr>
          <w:p w:rsidR="00954A28" w:rsidRPr="008F00C9" w:rsidRDefault="00954A28" w:rsidP="009827AA">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Investing period</w:t>
            </w:r>
          </w:p>
        </w:tc>
        <w:tc>
          <w:tcPr>
            <w:tcW w:w="756" w:type="pct"/>
          </w:tcPr>
          <w:p w:rsidR="00954A28" w:rsidRPr="008F00C9" w:rsidRDefault="00954A28" w:rsidP="009827AA">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Multiplying coeficient</w:t>
            </w:r>
          </w:p>
        </w:tc>
      </w:tr>
      <w:tr w:rsidR="004916E9" w:rsidRPr="008F00C9" w:rsidTr="00954A28">
        <w:tc>
          <w:tcPr>
            <w:tcW w:w="661"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Astral Telecom</w:t>
            </w:r>
          </w:p>
        </w:tc>
        <w:tc>
          <w:tcPr>
            <w:tcW w:w="585"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Servicii de telefonie mobila</w:t>
            </w:r>
          </w:p>
        </w:tc>
        <w:tc>
          <w:tcPr>
            <w:tcW w:w="607" w:type="pct"/>
          </w:tcPr>
          <w:p w:rsidR="004916E9" w:rsidRPr="008F00C9" w:rsidRDefault="004916E9" w:rsidP="00695698">
            <w:pPr>
              <w:spacing w:after="0" w:line="240" w:lineRule="auto"/>
              <w:jc w:val="both"/>
              <w:rPr>
                <w:rFonts w:ascii="Times New Roman" w:hAnsi="Times New Roman" w:cs="Times New Roman"/>
                <w:i/>
                <w:sz w:val="18"/>
                <w:szCs w:val="20"/>
              </w:rPr>
            </w:pPr>
            <w:r w:rsidRPr="008F00C9">
              <w:rPr>
                <w:rFonts w:ascii="Times New Roman" w:hAnsi="Times New Roman" w:cs="Times New Roman"/>
                <w:i/>
                <w:sz w:val="18"/>
                <w:szCs w:val="20"/>
              </w:rPr>
              <w:t>Buyout</w:t>
            </w:r>
          </w:p>
        </w:tc>
        <w:tc>
          <w:tcPr>
            <w:tcW w:w="617"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(mai 2007) 80 mil USD</w:t>
            </w:r>
          </w:p>
        </w:tc>
        <w:tc>
          <w:tcPr>
            <w:tcW w:w="576"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(2009) 1,6 mld EUR</w:t>
            </w:r>
          </w:p>
        </w:tc>
        <w:tc>
          <w:tcPr>
            <w:tcW w:w="627"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France Telecom, Deutche Telecom</w:t>
            </w:r>
          </w:p>
        </w:tc>
        <w:tc>
          <w:tcPr>
            <w:tcW w:w="571"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2-3 ani</w:t>
            </w:r>
          </w:p>
        </w:tc>
        <w:tc>
          <w:tcPr>
            <w:tcW w:w="756"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20x</w:t>
            </w:r>
          </w:p>
        </w:tc>
      </w:tr>
    </w:tbl>
    <w:p w:rsidR="004916E9" w:rsidRPr="008F00C9" w:rsidRDefault="004916E9" w:rsidP="004916E9">
      <w:pPr>
        <w:pStyle w:val="ListParagraph"/>
        <w:numPr>
          <w:ilvl w:val="0"/>
          <w:numId w:val="24"/>
        </w:numPr>
        <w:spacing w:after="0" w:line="240" w:lineRule="auto"/>
        <w:rPr>
          <w:rFonts w:ascii="Times New Roman" w:hAnsi="Times New Roman"/>
          <w:sz w:val="24"/>
          <w:szCs w:val="24"/>
        </w:rPr>
      </w:pPr>
      <w:r w:rsidRPr="008F00C9">
        <w:rPr>
          <w:rFonts w:ascii="Times New Roman" w:hAnsi="Times New Roman"/>
          <w:sz w:val="24"/>
          <w:szCs w:val="24"/>
        </w:rPr>
        <w:t>GED Capital Investments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4"/>
        <w:gridCol w:w="1332"/>
        <w:gridCol w:w="1156"/>
        <w:gridCol w:w="1482"/>
        <w:gridCol w:w="987"/>
        <w:gridCol w:w="1039"/>
        <w:gridCol w:w="1039"/>
        <w:gridCol w:w="1387"/>
      </w:tblGrid>
      <w:tr w:rsidR="00954A28" w:rsidRPr="008F00C9" w:rsidTr="00954A28">
        <w:tc>
          <w:tcPr>
            <w:tcW w:w="609" w:type="pct"/>
          </w:tcPr>
          <w:p w:rsidR="00954A28" w:rsidRPr="008F00C9" w:rsidRDefault="00954A28" w:rsidP="00695698">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Financing entity</w:t>
            </w:r>
          </w:p>
        </w:tc>
        <w:tc>
          <w:tcPr>
            <w:tcW w:w="701" w:type="pct"/>
          </w:tcPr>
          <w:p w:rsidR="00954A28" w:rsidRPr="008F00C9" w:rsidRDefault="00954A28" w:rsidP="00695698">
            <w:pPr>
              <w:spacing w:after="0" w:line="240" w:lineRule="auto"/>
              <w:jc w:val="both"/>
              <w:rPr>
                <w:rFonts w:ascii="Times New Roman" w:hAnsi="Times New Roman" w:cs="Times New Roman"/>
                <w:b/>
                <w:i/>
                <w:sz w:val="18"/>
                <w:szCs w:val="20"/>
              </w:rPr>
            </w:pPr>
            <w:r w:rsidRPr="008F00C9">
              <w:rPr>
                <w:rFonts w:ascii="Times New Roman" w:hAnsi="Times New Roman" w:cs="Times New Roman"/>
                <w:b/>
                <w:i/>
                <w:sz w:val="18"/>
                <w:szCs w:val="20"/>
              </w:rPr>
              <w:t xml:space="preserve">Sector </w:t>
            </w:r>
          </w:p>
        </w:tc>
        <w:tc>
          <w:tcPr>
            <w:tcW w:w="604" w:type="pct"/>
          </w:tcPr>
          <w:p w:rsidR="00954A28" w:rsidRPr="008F00C9" w:rsidRDefault="00954A28" w:rsidP="00695698">
            <w:pPr>
              <w:spacing w:after="0" w:line="240" w:lineRule="auto"/>
              <w:jc w:val="both"/>
              <w:rPr>
                <w:rFonts w:ascii="Times New Roman" w:hAnsi="Times New Roman" w:cs="Times New Roman"/>
                <w:b/>
                <w:i/>
                <w:sz w:val="18"/>
                <w:szCs w:val="20"/>
              </w:rPr>
            </w:pPr>
            <w:r w:rsidRPr="008F00C9">
              <w:rPr>
                <w:rFonts w:ascii="Times New Roman" w:hAnsi="Times New Roman" w:cs="Times New Roman"/>
                <w:b/>
                <w:i/>
                <w:sz w:val="18"/>
                <w:szCs w:val="20"/>
              </w:rPr>
              <w:t xml:space="preserve">Strategie </w:t>
            </w:r>
          </w:p>
        </w:tc>
        <w:tc>
          <w:tcPr>
            <w:tcW w:w="785" w:type="pct"/>
          </w:tcPr>
          <w:p w:rsidR="00954A28" w:rsidRPr="008F00C9" w:rsidRDefault="00954A28" w:rsidP="009827AA">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Investing amount</w:t>
            </w:r>
          </w:p>
        </w:tc>
        <w:tc>
          <w:tcPr>
            <w:tcW w:w="475" w:type="pct"/>
          </w:tcPr>
          <w:p w:rsidR="00954A28" w:rsidRPr="008F00C9" w:rsidRDefault="00954A28" w:rsidP="009827AA">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Multiplied amount</w:t>
            </w:r>
            <w:r w:rsidRPr="008F00C9">
              <w:rPr>
                <w:rFonts w:ascii="Times New Roman" w:hAnsi="Times New Roman" w:cs="Times New Roman"/>
                <w:b/>
                <w:i/>
                <w:sz w:val="18"/>
                <w:szCs w:val="20"/>
              </w:rPr>
              <w:t xml:space="preserve"> </w:t>
            </w:r>
          </w:p>
        </w:tc>
        <w:tc>
          <w:tcPr>
            <w:tcW w:w="548" w:type="pct"/>
          </w:tcPr>
          <w:p w:rsidR="00954A28" w:rsidRPr="008F00C9" w:rsidRDefault="00954A28" w:rsidP="009827AA">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Take over partner</w:t>
            </w:r>
          </w:p>
        </w:tc>
        <w:tc>
          <w:tcPr>
            <w:tcW w:w="548" w:type="pct"/>
          </w:tcPr>
          <w:p w:rsidR="00954A28" w:rsidRPr="008F00C9" w:rsidRDefault="00954A28" w:rsidP="009827AA">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Investing period</w:t>
            </w:r>
          </w:p>
        </w:tc>
        <w:tc>
          <w:tcPr>
            <w:tcW w:w="732" w:type="pct"/>
          </w:tcPr>
          <w:p w:rsidR="00954A28" w:rsidRPr="008F00C9" w:rsidRDefault="00954A28" w:rsidP="009827AA">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Multiplying coeficient</w:t>
            </w:r>
          </w:p>
        </w:tc>
      </w:tr>
      <w:tr w:rsidR="004916E9" w:rsidRPr="008F00C9" w:rsidTr="00954A28">
        <w:tc>
          <w:tcPr>
            <w:tcW w:w="609"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SICOMED</w:t>
            </w:r>
          </w:p>
        </w:tc>
        <w:tc>
          <w:tcPr>
            <w:tcW w:w="701"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Productie si distributie  medicamente</w:t>
            </w:r>
          </w:p>
        </w:tc>
        <w:tc>
          <w:tcPr>
            <w:tcW w:w="604" w:type="pct"/>
          </w:tcPr>
          <w:p w:rsidR="004916E9" w:rsidRPr="008F00C9" w:rsidRDefault="004916E9" w:rsidP="00695698">
            <w:pPr>
              <w:spacing w:after="0" w:line="240" w:lineRule="auto"/>
              <w:jc w:val="both"/>
              <w:rPr>
                <w:rFonts w:ascii="Times New Roman" w:hAnsi="Times New Roman" w:cs="Times New Roman"/>
                <w:i/>
                <w:sz w:val="18"/>
                <w:szCs w:val="20"/>
              </w:rPr>
            </w:pPr>
            <w:r w:rsidRPr="008F00C9">
              <w:rPr>
                <w:rFonts w:ascii="Times New Roman" w:hAnsi="Times New Roman" w:cs="Times New Roman"/>
                <w:i/>
                <w:sz w:val="18"/>
                <w:szCs w:val="20"/>
              </w:rPr>
              <w:t>Management replacement</w:t>
            </w:r>
          </w:p>
        </w:tc>
        <w:tc>
          <w:tcPr>
            <w:tcW w:w="785"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(2000) 6,8 mil EUR</w:t>
            </w:r>
          </w:p>
        </w:tc>
        <w:tc>
          <w:tcPr>
            <w:tcW w:w="475"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(2005) 41,6 mil EUR</w:t>
            </w:r>
          </w:p>
        </w:tc>
        <w:tc>
          <w:tcPr>
            <w:tcW w:w="548"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Zentiva</w:t>
            </w:r>
          </w:p>
        </w:tc>
        <w:tc>
          <w:tcPr>
            <w:tcW w:w="548"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5-6 ani</w:t>
            </w:r>
          </w:p>
        </w:tc>
        <w:tc>
          <w:tcPr>
            <w:tcW w:w="732"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6.11x</w:t>
            </w:r>
          </w:p>
        </w:tc>
      </w:tr>
    </w:tbl>
    <w:p w:rsidR="004916E9" w:rsidRPr="008F00C9" w:rsidRDefault="004916E9" w:rsidP="004916E9">
      <w:pPr>
        <w:pStyle w:val="ListParagraph"/>
        <w:numPr>
          <w:ilvl w:val="0"/>
          <w:numId w:val="24"/>
        </w:numPr>
        <w:spacing w:after="0" w:line="240" w:lineRule="auto"/>
        <w:rPr>
          <w:rFonts w:ascii="Times New Roman" w:hAnsi="Times New Roman"/>
          <w:sz w:val="24"/>
          <w:szCs w:val="24"/>
        </w:rPr>
      </w:pPr>
      <w:r w:rsidRPr="008F00C9">
        <w:rPr>
          <w:rFonts w:ascii="Times New Roman" w:hAnsi="Times New Roman"/>
          <w:sz w:val="24"/>
          <w:szCs w:val="24"/>
        </w:rPr>
        <w:t>ORESA Investments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7"/>
        <w:gridCol w:w="1087"/>
        <w:gridCol w:w="1114"/>
        <w:gridCol w:w="1137"/>
        <w:gridCol w:w="1039"/>
        <w:gridCol w:w="1250"/>
        <w:gridCol w:w="1068"/>
        <w:gridCol w:w="1424"/>
      </w:tblGrid>
      <w:tr w:rsidR="00954A28" w:rsidRPr="008F00C9" w:rsidTr="00954A28">
        <w:tc>
          <w:tcPr>
            <w:tcW w:w="775" w:type="pct"/>
          </w:tcPr>
          <w:p w:rsidR="00954A28" w:rsidRPr="008F00C9" w:rsidRDefault="00954A28" w:rsidP="00695698">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Financing entity</w:t>
            </w:r>
          </w:p>
        </w:tc>
        <w:tc>
          <w:tcPr>
            <w:tcW w:w="471" w:type="pct"/>
          </w:tcPr>
          <w:p w:rsidR="00954A28" w:rsidRPr="008F00C9" w:rsidRDefault="00954A28" w:rsidP="00695698">
            <w:pPr>
              <w:spacing w:after="0" w:line="240" w:lineRule="auto"/>
              <w:jc w:val="both"/>
              <w:rPr>
                <w:rFonts w:ascii="Times New Roman" w:hAnsi="Times New Roman" w:cs="Times New Roman"/>
                <w:b/>
                <w:i/>
                <w:sz w:val="18"/>
                <w:szCs w:val="20"/>
              </w:rPr>
            </w:pPr>
            <w:r w:rsidRPr="008F00C9">
              <w:rPr>
                <w:rFonts w:ascii="Times New Roman" w:hAnsi="Times New Roman" w:cs="Times New Roman"/>
                <w:b/>
                <w:i/>
                <w:sz w:val="18"/>
                <w:szCs w:val="20"/>
              </w:rPr>
              <w:t xml:space="preserve">Sector </w:t>
            </w:r>
          </w:p>
        </w:tc>
        <w:tc>
          <w:tcPr>
            <w:tcW w:w="595" w:type="pct"/>
          </w:tcPr>
          <w:p w:rsidR="00954A28" w:rsidRPr="008F00C9" w:rsidRDefault="00954A28" w:rsidP="00695698">
            <w:pPr>
              <w:spacing w:after="0" w:line="240" w:lineRule="auto"/>
              <w:jc w:val="both"/>
              <w:rPr>
                <w:rFonts w:ascii="Times New Roman" w:hAnsi="Times New Roman" w:cs="Times New Roman"/>
                <w:b/>
                <w:i/>
                <w:sz w:val="18"/>
                <w:szCs w:val="20"/>
              </w:rPr>
            </w:pPr>
            <w:r w:rsidRPr="008F00C9">
              <w:rPr>
                <w:rFonts w:ascii="Times New Roman" w:hAnsi="Times New Roman" w:cs="Times New Roman"/>
                <w:b/>
                <w:i/>
                <w:sz w:val="18"/>
                <w:szCs w:val="20"/>
              </w:rPr>
              <w:t xml:space="preserve">Strategie </w:t>
            </w:r>
          </w:p>
        </w:tc>
        <w:tc>
          <w:tcPr>
            <w:tcW w:w="607" w:type="pct"/>
          </w:tcPr>
          <w:p w:rsidR="00954A28" w:rsidRPr="008F00C9" w:rsidRDefault="00954A28" w:rsidP="009827AA">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Investing amount</w:t>
            </w:r>
          </w:p>
        </w:tc>
        <w:tc>
          <w:tcPr>
            <w:tcW w:w="556" w:type="pct"/>
          </w:tcPr>
          <w:p w:rsidR="00954A28" w:rsidRPr="008F00C9" w:rsidRDefault="00954A28" w:rsidP="009827AA">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Multiplied amount</w:t>
            </w:r>
            <w:r w:rsidRPr="008F00C9">
              <w:rPr>
                <w:rFonts w:ascii="Times New Roman" w:hAnsi="Times New Roman" w:cs="Times New Roman"/>
                <w:b/>
                <w:i/>
                <w:sz w:val="18"/>
                <w:szCs w:val="20"/>
              </w:rPr>
              <w:t xml:space="preserve"> </w:t>
            </w:r>
          </w:p>
        </w:tc>
        <w:tc>
          <w:tcPr>
            <w:tcW w:w="666" w:type="pct"/>
          </w:tcPr>
          <w:p w:rsidR="00954A28" w:rsidRPr="008F00C9" w:rsidRDefault="00954A28" w:rsidP="009827AA">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Take over partner</w:t>
            </w:r>
          </w:p>
        </w:tc>
        <w:tc>
          <w:tcPr>
            <w:tcW w:w="571" w:type="pct"/>
          </w:tcPr>
          <w:p w:rsidR="00954A28" w:rsidRPr="008F00C9" w:rsidRDefault="00954A28" w:rsidP="009827AA">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Investing period</w:t>
            </w:r>
          </w:p>
        </w:tc>
        <w:tc>
          <w:tcPr>
            <w:tcW w:w="757" w:type="pct"/>
          </w:tcPr>
          <w:p w:rsidR="00954A28" w:rsidRPr="008F00C9" w:rsidRDefault="00954A28" w:rsidP="009827AA">
            <w:pPr>
              <w:spacing w:after="0" w:line="240" w:lineRule="auto"/>
              <w:jc w:val="both"/>
              <w:rPr>
                <w:rFonts w:ascii="Times New Roman" w:hAnsi="Times New Roman" w:cs="Times New Roman"/>
                <w:b/>
                <w:i/>
                <w:sz w:val="18"/>
                <w:szCs w:val="20"/>
              </w:rPr>
            </w:pPr>
            <w:r>
              <w:rPr>
                <w:rFonts w:ascii="Times New Roman" w:hAnsi="Times New Roman" w:cs="Times New Roman"/>
                <w:b/>
                <w:i/>
                <w:sz w:val="18"/>
                <w:szCs w:val="20"/>
              </w:rPr>
              <w:t>Multiplying coeficient</w:t>
            </w:r>
          </w:p>
        </w:tc>
      </w:tr>
      <w:tr w:rsidR="004916E9" w:rsidRPr="008F00C9" w:rsidTr="00954A28">
        <w:tc>
          <w:tcPr>
            <w:tcW w:w="775"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FLANCO FLAMINGO</w:t>
            </w:r>
          </w:p>
        </w:tc>
        <w:tc>
          <w:tcPr>
            <w:tcW w:w="471" w:type="pct"/>
          </w:tcPr>
          <w:p w:rsidR="004916E9" w:rsidRPr="008F00C9" w:rsidRDefault="00954A28" w:rsidP="00695698">
            <w:pPr>
              <w:spacing w:after="0" w:line="240" w:lineRule="auto"/>
              <w:jc w:val="both"/>
              <w:rPr>
                <w:rFonts w:ascii="Times New Roman" w:hAnsi="Times New Roman" w:cs="Times New Roman"/>
                <w:sz w:val="18"/>
                <w:szCs w:val="20"/>
              </w:rPr>
            </w:pPr>
            <w:r>
              <w:rPr>
                <w:rFonts w:ascii="Times New Roman" w:hAnsi="Times New Roman" w:cs="Times New Roman"/>
                <w:sz w:val="18"/>
                <w:szCs w:val="20"/>
              </w:rPr>
              <w:t>Distribution</w:t>
            </w:r>
          </w:p>
        </w:tc>
        <w:tc>
          <w:tcPr>
            <w:tcW w:w="595" w:type="pct"/>
          </w:tcPr>
          <w:p w:rsidR="004916E9" w:rsidRPr="008F00C9" w:rsidRDefault="004916E9" w:rsidP="00695698">
            <w:pPr>
              <w:spacing w:after="0" w:line="240" w:lineRule="auto"/>
              <w:jc w:val="both"/>
              <w:rPr>
                <w:rFonts w:ascii="Times New Roman" w:hAnsi="Times New Roman" w:cs="Times New Roman"/>
                <w:i/>
                <w:sz w:val="18"/>
                <w:szCs w:val="20"/>
              </w:rPr>
            </w:pPr>
            <w:r w:rsidRPr="008F00C9">
              <w:rPr>
                <w:rFonts w:ascii="Times New Roman" w:hAnsi="Times New Roman" w:cs="Times New Roman"/>
                <w:i/>
                <w:sz w:val="18"/>
                <w:szCs w:val="20"/>
              </w:rPr>
              <w:t>Fuziune/ exit partial</w:t>
            </w:r>
          </w:p>
        </w:tc>
        <w:tc>
          <w:tcPr>
            <w:tcW w:w="607"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(1997) 300 000 EUR</w:t>
            </w:r>
          </w:p>
        </w:tc>
        <w:tc>
          <w:tcPr>
            <w:tcW w:w="556"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(2006) 38 mil EUR</w:t>
            </w:r>
          </w:p>
        </w:tc>
        <w:tc>
          <w:tcPr>
            <w:tcW w:w="666" w:type="pct"/>
          </w:tcPr>
          <w:p w:rsidR="004916E9" w:rsidRPr="008F00C9" w:rsidRDefault="004916E9" w:rsidP="00695698">
            <w:pPr>
              <w:spacing w:after="0" w:line="240" w:lineRule="auto"/>
              <w:jc w:val="both"/>
              <w:rPr>
                <w:rFonts w:ascii="Times New Roman" w:hAnsi="Times New Roman" w:cs="Times New Roman"/>
                <w:sz w:val="18"/>
                <w:szCs w:val="20"/>
              </w:rPr>
            </w:pPr>
          </w:p>
        </w:tc>
        <w:tc>
          <w:tcPr>
            <w:tcW w:w="571"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9-10 ani</w:t>
            </w:r>
          </w:p>
        </w:tc>
        <w:tc>
          <w:tcPr>
            <w:tcW w:w="757"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126x</w:t>
            </w:r>
          </w:p>
        </w:tc>
      </w:tr>
      <w:tr w:rsidR="004916E9" w:rsidRPr="008F00C9" w:rsidTr="00954A28">
        <w:tc>
          <w:tcPr>
            <w:tcW w:w="775"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LA FANTANA</w:t>
            </w:r>
          </w:p>
        </w:tc>
        <w:tc>
          <w:tcPr>
            <w:tcW w:w="471" w:type="pct"/>
          </w:tcPr>
          <w:p w:rsidR="004916E9" w:rsidRPr="008F00C9" w:rsidRDefault="00954A28" w:rsidP="00695698">
            <w:pPr>
              <w:spacing w:after="0" w:line="240" w:lineRule="auto"/>
              <w:jc w:val="both"/>
              <w:rPr>
                <w:rFonts w:ascii="Times New Roman" w:hAnsi="Times New Roman" w:cs="Times New Roman"/>
                <w:sz w:val="18"/>
                <w:szCs w:val="20"/>
              </w:rPr>
            </w:pPr>
            <w:r>
              <w:rPr>
                <w:rFonts w:ascii="Times New Roman" w:hAnsi="Times New Roman" w:cs="Times New Roman"/>
                <w:sz w:val="18"/>
                <w:szCs w:val="20"/>
              </w:rPr>
              <w:t>Distribution</w:t>
            </w:r>
          </w:p>
        </w:tc>
        <w:tc>
          <w:tcPr>
            <w:tcW w:w="595" w:type="pct"/>
          </w:tcPr>
          <w:p w:rsidR="004916E9" w:rsidRPr="008F00C9" w:rsidRDefault="004916E9" w:rsidP="00695698">
            <w:pPr>
              <w:spacing w:after="0" w:line="240" w:lineRule="auto"/>
              <w:jc w:val="both"/>
              <w:rPr>
                <w:rFonts w:ascii="Times New Roman" w:hAnsi="Times New Roman" w:cs="Times New Roman"/>
                <w:i/>
                <w:sz w:val="18"/>
                <w:szCs w:val="20"/>
              </w:rPr>
            </w:pPr>
            <w:r w:rsidRPr="008F00C9">
              <w:rPr>
                <w:rFonts w:ascii="Times New Roman" w:hAnsi="Times New Roman" w:cs="Times New Roman"/>
                <w:i/>
                <w:sz w:val="18"/>
                <w:szCs w:val="20"/>
              </w:rPr>
              <w:t>Buyout</w:t>
            </w:r>
          </w:p>
        </w:tc>
        <w:tc>
          <w:tcPr>
            <w:tcW w:w="607"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(2001) 3 mil EUR</w:t>
            </w:r>
          </w:p>
        </w:tc>
        <w:tc>
          <w:tcPr>
            <w:tcW w:w="556"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(2007) 35 -40 mil EUR</w:t>
            </w:r>
          </w:p>
        </w:tc>
        <w:tc>
          <w:tcPr>
            <w:tcW w:w="666"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Innova Capital (secondary buyout)</w:t>
            </w:r>
          </w:p>
        </w:tc>
        <w:tc>
          <w:tcPr>
            <w:tcW w:w="571"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6-7 ani</w:t>
            </w:r>
          </w:p>
        </w:tc>
        <w:tc>
          <w:tcPr>
            <w:tcW w:w="757" w:type="pct"/>
          </w:tcPr>
          <w:p w:rsidR="004916E9" w:rsidRPr="008F00C9" w:rsidRDefault="004916E9" w:rsidP="00695698">
            <w:pPr>
              <w:spacing w:after="0" w:line="240" w:lineRule="auto"/>
              <w:jc w:val="both"/>
              <w:rPr>
                <w:rFonts w:ascii="Times New Roman" w:hAnsi="Times New Roman" w:cs="Times New Roman"/>
                <w:sz w:val="18"/>
                <w:szCs w:val="20"/>
              </w:rPr>
            </w:pPr>
            <w:r w:rsidRPr="008F00C9">
              <w:rPr>
                <w:rFonts w:ascii="Times New Roman" w:hAnsi="Times New Roman" w:cs="Times New Roman"/>
                <w:sz w:val="18"/>
                <w:szCs w:val="20"/>
              </w:rPr>
              <w:t>11.67x</w:t>
            </w:r>
          </w:p>
        </w:tc>
      </w:tr>
    </w:tbl>
    <w:p w:rsidR="004916E9" w:rsidRPr="008F00C9" w:rsidRDefault="00954A28" w:rsidP="004916E9">
      <w:pPr>
        <w:pStyle w:val="ListParagraph"/>
        <w:spacing w:after="120"/>
        <w:ind w:left="780"/>
        <w:jc w:val="both"/>
        <w:rPr>
          <w:rFonts w:ascii="Times New Roman" w:hAnsi="Times New Roman"/>
          <w:spacing w:val="-4"/>
          <w:sz w:val="24"/>
          <w:szCs w:val="24"/>
        </w:rPr>
      </w:pPr>
      <w:r>
        <w:rPr>
          <w:rFonts w:ascii="Times New Roman" w:hAnsi="Times New Roman"/>
          <w:spacing w:val="-4"/>
          <w:sz w:val="24"/>
          <w:szCs w:val="24"/>
        </w:rPr>
        <w:t>Source</w:t>
      </w:r>
      <w:r w:rsidR="004916E9" w:rsidRPr="008F00C9">
        <w:rPr>
          <w:rFonts w:ascii="Times New Roman" w:hAnsi="Times New Roman"/>
          <w:spacing w:val="-4"/>
          <w:sz w:val="24"/>
          <w:szCs w:val="24"/>
        </w:rPr>
        <w:t xml:space="preserve">: </w:t>
      </w:r>
      <w:r>
        <w:rPr>
          <w:rFonts w:ascii="Times New Roman" w:hAnsi="Times New Roman"/>
          <w:spacing w:val="-4"/>
          <w:sz w:val="24"/>
          <w:szCs w:val="24"/>
        </w:rPr>
        <w:t>author’s own processing</w:t>
      </w:r>
    </w:p>
    <w:p w:rsidR="00AA1D41" w:rsidRDefault="00AA1D41" w:rsidP="00AA1D41">
      <w:pPr>
        <w:autoSpaceDE w:val="0"/>
        <w:autoSpaceDN w:val="0"/>
        <w:adjustRightInd w:val="0"/>
        <w:spacing w:after="120" w:line="240" w:lineRule="auto"/>
        <w:jc w:val="both"/>
        <w:rPr>
          <w:rFonts w:ascii="Times New Roman" w:hAnsi="Times New Roman" w:cs="Times New Roman"/>
          <w:sz w:val="24"/>
          <w:szCs w:val="24"/>
        </w:rPr>
      </w:pPr>
      <w:r w:rsidRPr="00AA1D41">
        <w:rPr>
          <w:rFonts w:ascii="Times New Roman" w:hAnsi="Times New Roman" w:cs="Times New Roman"/>
          <w:sz w:val="24"/>
          <w:szCs w:val="24"/>
        </w:rPr>
        <w:t>Generally</w:t>
      </w:r>
      <w:r>
        <w:rPr>
          <w:rFonts w:ascii="Times New Roman" w:hAnsi="Times New Roman" w:cs="Times New Roman"/>
          <w:sz w:val="24"/>
          <w:szCs w:val="24"/>
        </w:rPr>
        <w:t>, these</w:t>
      </w:r>
      <w:r w:rsidRPr="00AA1D41">
        <w:rPr>
          <w:rFonts w:ascii="Times New Roman" w:hAnsi="Times New Roman" w:cs="Times New Roman"/>
          <w:sz w:val="24"/>
          <w:szCs w:val="24"/>
        </w:rPr>
        <w:t xml:space="preserve"> foreign investment</w:t>
      </w:r>
      <w:r>
        <w:rPr>
          <w:rFonts w:ascii="Times New Roman" w:hAnsi="Times New Roman" w:cs="Times New Roman"/>
          <w:sz w:val="24"/>
          <w:szCs w:val="24"/>
        </w:rPr>
        <w:t xml:space="preserve"> companies have</w:t>
      </w:r>
      <w:r w:rsidRPr="00AA1D41">
        <w:rPr>
          <w:rFonts w:ascii="Times New Roman" w:hAnsi="Times New Roman" w:cs="Times New Roman"/>
          <w:sz w:val="24"/>
          <w:szCs w:val="24"/>
        </w:rPr>
        <w:t xml:space="preserve"> invested in </w:t>
      </w:r>
      <w:r>
        <w:rPr>
          <w:rFonts w:ascii="Times New Roman" w:hAnsi="Times New Roman" w:cs="Times New Roman"/>
          <w:sz w:val="24"/>
          <w:szCs w:val="24"/>
        </w:rPr>
        <w:t xml:space="preserve">domestic </w:t>
      </w:r>
      <w:r w:rsidRPr="00AA1D41">
        <w:rPr>
          <w:rFonts w:ascii="Times New Roman" w:hAnsi="Times New Roman" w:cs="Times New Roman"/>
          <w:sz w:val="24"/>
          <w:szCs w:val="24"/>
        </w:rPr>
        <w:t>companie</w:t>
      </w:r>
      <w:r>
        <w:rPr>
          <w:rFonts w:ascii="Times New Roman" w:hAnsi="Times New Roman" w:cs="Times New Roman"/>
          <w:sz w:val="24"/>
          <w:szCs w:val="24"/>
        </w:rPr>
        <w:t xml:space="preserve">s belonging to the same sectors within the most relevant examples are the followings: for telecommunications </w:t>
      </w:r>
      <w:r w:rsidRPr="00AA1D41">
        <w:rPr>
          <w:rFonts w:ascii="Times New Roman" w:hAnsi="Times New Roman" w:cs="Times New Roman"/>
          <w:sz w:val="24"/>
          <w:szCs w:val="24"/>
        </w:rPr>
        <w:t>(</w:t>
      </w:r>
      <w:r>
        <w:rPr>
          <w:rFonts w:ascii="Times New Roman" w:hAnsi="Times New Roman" w:cs="Times New Roman"/>
          <w:sz w:val="24"/>
          <w:szCs w:val="24"/>
        </w:rPr>
        <w:t xml:space="preserve">eg. </w:t>
      </w:r>
      <w:r w:rsidRPr="00AA1D41">
        <w:rPr>
          <w:rFonts w:ascii="Times New Roman" w:hAnsi="Times New Roman" w:cs="Times New Roman"/>
          <w:sz w:val="24"/>
          <w:szCs w:val="24"/>
        </w:rPr>
        <w:t xml:space="preserve">Mobifon Connex </w:t>
      </w:r>
      <w:r>
        <w:rPr>
          <w:rFonts w:ascii="Times New Roman" w:hAnsi="Times New Roman" w:cs="Times New Roman"/>
          <w:sz w:val="24"/>
          <w:szCs w:val="24"/>
        </w:rPr>
        <w:t>tradeoff to Vodafone</w:t>
      </w:r>
      <w:r w:rsidRPr="00AA1D41">
        <w:rPr>
          <w:rFonts w:ascii="Times New Roman" w:hAnsi="Times New Roman" w:cs="Times New Roman"/>
          <w:sz w:val="24"/>
          <w:szCs w:val="24"/>
        </w:rPr>
        <w:t xml:space="preserve">, Astral Telecom </w:t>
      </w:r>
      <w:r>
        <w:rPr>
          <w:rFonts w:ascii="Times New Roman" w:hAnsi="Times New Roman" w:cs="Times New Roman"/>
          <w:sz w:val="24"/>
          <w:szCs w:val="24"/>
        </w:rPr>
        <w:t>sale to Orange</w:t>
      </w:r>
      <w:r w:rsidRPr="00AA1D41">
        <w:rPr>
          <w:rFonts w:ascii="Times New Roman" w:hAnsi="Times New Roman" w:cs="Times New Roman"/>
          <w:sz w:val="24"/>
          <w:szCs w:val="24"/>
        </w:rPr>
        <w:t xml:space="preserve">, Digital Cable Systems </w:t>
      </w:r>
      <w:r>
        <w:rPr>
          <w:rFonts w:ascii="Times New Roman" w:hAnsi="Times New Roman" w:cs="Times New Roman"/>
          <w:sz w:val="24"/>
          <w:szCs w:val="24"/>
        </w:rPr>
        <w:t>takeover by RDS RCS)</w:t>
      </w:r>
      <w:r w:rsidRPr="00AA1D41">
        <w:rPr>
          <w:rFonts w:ascii="Times New Roman" w:hAnsi="Times New Roman" w:cs="Times New Roman"/>
          <w:sz w:val="24"/>
          <w:szCs w:val="24"/>
        </w:rPr>
        <w:t xml:space="preserve">, </w:t>
      </w:r>
      <w:r>
        <w:rPr>
          <w:rFonts w:ascii="Times New Roman" w:hAnsi="Times New Roman" w:cs="Times New Roman"/>
          <w:sz w:val="24"/>
          <w:szCs w:val="24"/>
        </w:rPr>
        <w:t xml:space="preserve">for financial services (we have the </w:t>
      </w:r>
      <w:r w:rsidRPr="00AA1D41">
        <w:rPr>
          <w:rFonts w:ascii="Times New Roman" w:hAnsi="Times New Roman" w:cs="Times New Roman"/>
          <w:sz w:val="24"/>
          <w:szCs w:val="24"/>
        </w:rPr>
        <w:t xml:space="preserve">case </w:t>
      </w:r>
      <w:r>
        <w:rPr>
          <w:rFonts w:ascii="Times New Roman" w:hAnsi="Times New Roman" w:cs="Times New Roman"/>
          <w:sz w:val="24"/>
          <w:szCs w:val="24"/>
        </w:rPr>
        <w:t xml:space="preserve">of </w:t>
      </w:r>
      <w:r w:rsidRPr="00AA1D41">
        <w:rPr>
          <w:rFonts w:ascii="Times New Roman" w:hAnsi="Times New Roman" w:cs="Times New Roman"/>
          <w:sz w:val="24"/>
          <w:szCs w:val="24"/>
        </w:rPr>
        <w:t>In</w:t>
      </w:r>
      <w:r>
        <w:rPr>
          <w:rFonts w:ascii="Times New Roman" w:hAnsi="Times New Roman" w:cs="Times New Roman"/>
          <w:sz w:val="24"/>
          <w:szCs w:val="24"/>
        </w:rPr>
        <w:t>tercapital Invest, Kiwi Finance, Libra Bank, Credisson)</w:t>
      </w:r>
      <w:r w:rsidRPr="00AA1D41">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AA1D41">
        <w:rPr>
          <w:rFonts w:ascii="Times New Roman" w:hAnsi="Times New Roman" w:cs="Times New Roman"/>
          <w:sz w:val="24"/>
          <w:szCs w:val="24"/>
        </w:rPr>
        <w:t xml:space="preserve">chemicals and pharmaceuticals (Terapia Cluj </w:t>
      </w:r>
      <w:r>
        <w:rPr>
          <w:rFonts w:ascii="Times New Roman" w:hAnsi="Times New Roman" w:cs="Times New Roman"/>
          <w:sz w:val="24"/>
          <w:szCs w:val="24"/>
        </w:rPr>
        <w:t>takeover by Ranbaxy</w:t>
      </w:r>
      <w:r w:rsidRPr="00AA1D41">
        <w:rPr>
          <w:rFonts w:ascii="Times New Roman" w:hAnsi="Times New Roman" w:cs="Times New Roman"/>
          <w:sz w:val="24"/>
          <w:szCs w:val="24"/>
        </w:rPr>
        <w:t xml:space="preserve">, Sicomed - Zentiva </w:t>
      </w:r>
      <w:r>
        <w:rPr>
          <w:rFonts w:ascii="Times New Roman" w:hAnsi="Times New Roman" w:cs="Times New Roman"/>
          <w:sz w:val="24"/>
          <w:szCs w:val="24"/>
        </w:rPr>
        <w:t>case, Labormed - Shreea, Lupin, Dr Reddy's Laboratories)</w:t>
      </w:r>
      <w:r w:rsidRPr="00AA1D41">
        <w:rPr>
          <w:rFonts w:ascii="Times New Roman" w:hAnsi="Times New Roman" w:cs="Times New Roman"/>
          <w:sz w:val="24"/>
          <w:szCs w:val="24"/>
        </w:rPr>
        <w:t>, t</w:t>
      </w:r>
      <w:r>
        <w:rPr>
          <w:rFonts w:ascii="Times New Roman" w:hAnsi="Times New Roman" w:cs="Times New Roman"/>
          <w:sz w:val="24"/>
          <w:szCs w:val="24"/>
        </w:rPr>
        <w:t>he industry of consumer goods (</w:t>
      </w:r>
      <w:r w:rsidRPr="00AA1D41">
        <w:rPr>
          <w:rFonts w:ascii="Times New Roman" w:hAnsi="Times New Roman" w:cs="Times New Roman"/>
          <w:sz w:val="24"/>
          <w:szCs w:val="24"/>
        </w:rPr>
        <w:t>Bere Miercurea Ciuc - Brewery Holdings</w:t>
      </w:r>
      <w:r>
        <w:rPr>
          <w:rFonts w:ascii="Times New Roman" w:hAnsi="Times New Roman" w:cs="Times New Roman"/>
          <w:sz w:val="24"/>
          <w:szCs w:val="24"/>
        </w:rPr>
        <w:t>, as well as Vel Pitar, La Fantana, Oriflame)</w:t>
      </w:r>
      <w:r w:rsidRPr="00AA1D41">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AA1D41">
        <w:rPr>
          <w:rFonts w:ascii="Times New Roman" w:hAnsi="Times New Roman" w:cs="Times New Roman"/>
          <w:sz w:val="24"/>
          <w:szCs w:val="24"/>
        </w:rPr>
        <w:t>electrica</w:t>
      </w:r>
      <w:r>
        <w:rPr>
          <w:rFonts w:ascii="Times New Roman" w:hAnsi="Times New Roman" w:cs="Times New Roman"/>
          <w:sz w:val="24"/>
          <w:szCs w:val="24"/>
        </w:rPr>
        <w:t>l and electronic distribution (Flanco - Flamingo, Domo), in tourism services (Happy tours, Continental Hotels), paint industry (Policolor, Dufa)</w:t>
      </w:r>
      <w:r w:rsidRPr="00AA1D41">
        <w:rPr>
          <w:rFonts w:ascii="Times New Roman" w:hAnsi="Times New Roman" w:cs="Times New Roman"/>
          <w:sz w:val="24"/>
          <w:szCs w:val="24"/>
        </w:rPr>
        <w:t>, etc</w:t>
      </w:r>
      <w:r>
        <w:rPr>
          <w:rFonts w:ascii="Times New Roman" w:hAnsi="Times New Roman" w:cs="Times New Roman"/>
          <w:sz w:val="24"/>
          <w:szCs w:val="24"/>
        </w:rPr>
        <w:t>.</w:t>
      </w:r>
    </w:p>
    <w:p w:rsidR="005864D8" w:rsidRDefault="005864D8" w:rsidP="005864D8">
      <w:pPr>
        <w:autoSpaceDE w:val="0"/>
        <w:autoSpaceDN w:val="0"/>
        <w:adjustRightInd w:val="0"/>
        <w:spacing w:after="120" w:line="240" w:lineRule="auto"/>
        <w:jc w:val="both"/>
        <w:rPr>
          <w:rFonts w:ascii="Times New Roman" w:hAnsi="Times New Roman" w:cs="Times New Roman"/>
          <w:spacing w:val="-4"/>
          <w:sz w:val="24"/>
          <w:szCs w:val="24"/>
        </w:rPr>
      </w:pPr>
      <w:r>
        <w:rPr>
          <w:rFonts w:ascii="Times New Roman" w:hAnsi="Times New Roman" w:cs="Times New Roman"/>
          <w:sz w:val="24"/>
          <w:szCs w:val="24"/>
        </w:rPr>
        <w:t>As an external funding solution, private equity funding has become a considered financing alternative while the bank loans conditions have been restrictive</w:t>
      </w:r>
      <w:r w:rsidR="0033747B">
        <w:rPr>
          <w:rFonts w:ascii="Times New Roman" w:hAnsi="Times New Roman" w:cs="Times New Roman"/>
          <w:sz w:val="24"/>
          <w:szCs w:val="24"/>
        </w:rPr>
        <w:t xml:space="preserve"> </w:t>
      </w:r>
      <w:sdt>
        <w:sdtPr>
          <w:id w:val="10430478"/>
          <w:citation/>
        </w:sdtPr>
        <w:sdtContent>
          <w:r w:rsidR="004B4616" w:rsidRPr="008F00C9">
            <w:rPr>
              <w:rFonts w:ascii="Times New Roman" w:hAnsi="Times New Roman" w:cs="Times New Roman"/>
              <w:spacing w:val="-4"/>
              <w:sz w:val="24"/>
              <w:szCs w:val="24"/>
            </w:rPr>
            <w:fldChar w:fldCharType="begin"/>
          </w:r>
          <w:r w:rsidR="004916E9" w:rsidRPr="008F00C9">
            <w:rPr>
              <w:rFonts w:ascii="Times New Roman" w:hAnsi="Times New Roman" w:cs="Times New Roman"/>
              <w:spacing w:val="-4"/>
              <w:sz w:val="24"/>
              <w:szCs w:val="24"/>
            </w:rPr>
            <w:instrText xml:space="preserve"> CITATION Gal091 \l 1048 </w:instrText>
          </w:r>
          <w:r w:rsidR="004B4616" w:rsidRPr="008F00C9">
            <w:rPr>
              <w:rFonts w:ascii="Times New Roman" w:hAnsi="Times New Roman" w:cs="Times New Roman"/>
              <w:spacing w:val="-4"/>
              <w:sz w:val="24"/>
              <w:szCs w:val="24"/>
            </w:rPr>
            <w:fldChar w:fldCharType="separate"/>
          </w:r>
          <w:r w:rsidR="004916E9" w:rsidRPr="008F00C9">
            <w:rPr>
              <w:rFonts w:ascii="Times New Roman" w:hAnsi="Times New Roman" w:cs="Times New Roman"/>
              <w:noProof/>
              <w:spacing w:val="-4"/>
              <w:sz w:val="24"/>
              <w:szCs w:val="24"/>
            </w:rPr>
            <w:t>(Galeteanu 2009)</w:t>
          </w:r>
          <w:r w:rsidR="004B4616" w:rsidRPr="008F00C9">
            <w:rPr>
              <w:rFonts w:ascii="Times New Roman" w:hAnsi="Times New Roman" w:cs="Times New Roman"/>
              <w:spacing w:val="-4"/>
              <w:sz w:val="24"/>
              <w:szCs w:val="24"/>
            </w:rPr>
            <w:fldChar w:fldCharType="end"/>
          </w:r>
        </w:sdtContent>
      </w:sdt>
      <w:r w:rsidR="004916E9" w:rsidRPr="008F00C9">
        <w:rPr>
          <w:rFonts w:ascii="Times New Roman" w:hAnsi="Times New Roman" w:cs="Times New Roman"/>
          <w:spacing w:val="-4"/>
          <w:sz w:val="24"/>
          <w:szCs w:val="24"/>
        </w:rPr>
        <w:t xml:space="preserve">. </w:t>
      </w:r>
    </w:p>
    <w:p w:rsidR="005864D8" w:rsidRDefault="005864D8" w:rsidP="005864D8">
      <w:pPr>
        <w:autoSpaceDE w:val="0"/>
        <w:autoSpaceDN w:val="0"/>
        <w:adjustRightInd w:val="0"/>
        <w:spacing w:after="120" w:line="240" w:lineRule="auto"/>
        <w:jc w:val="both"/>
        <w:rPr>
          <w:rFonts w:ascii="Times New Roman" w:hAnsi="Times New Roman" w:cs="Times New Roman"/>
          <w:sz w:val="24"/>
          <w:szCs w:val="24"/>
        </w:rPr>
      </w:pPr>
      <w:r w:rsidRPr="005864D8">
        <w:rPr>
          <w:rFonts w:ascii="Times New Roman" w:hAnsi="Times New Roman" w:cs="Times New Roman"/>
          <w:sz w:val="24"/>
          <w:szCs w:val="24"/>
        </w:rPr>
        <w:t>With short-ter</w:t>
      </w:r>
      <w:r w:rsidR="000F3778">
        <w:rPr>
          <w:rFonts w:ascii="Times New Roman" w:hAnsi="Times New Roman" w:cs="Times New Roman"/>
          <w:sz w:val="24"/>
          <w:szCs w:val="24"/>
        </w:rPr>
        <w:t>m interest rates of 13.1% and 11.8</w:t>
      </w:r>
      <w:r w:rsidRPr="005864D8">
        <w:rPr>
          <w:rFonts w:ascii="Times New Roman" w:hAnsi="Times New Roman" w:cs="Times New Roman"/>
          <w:sz w:val="24"/>
          <w:szCs w:val="24"/>
        </w:rPr>
        <w:t>% (</w:t>
      </w:r>
      <w:r>
        <w:rPr>
          <w:rFonts w:ascii="Times New Roman" w:hAnsi="Times New Roman" w:cs="Times New Roman"/>
          <w:sz w:val="24"/>
          <w:szCs w:val="24"/>
        </w:rPr>
        <w:t xml:space="preserve">for </w:t>
      </w:r>
      <w:r w:rsidRPr="005864D8">
        <w:rPr>
          <w:rFonts w:ascii="Times New Roman" w:hAnsi="Times New Roman" w:cs="Times New Roman"/>
          <w:sz w:val="24"/>
          <w:szCs w:val="24"/>
        </w:rPr>
        <w:t>3 months</w:t>
      </w:r>
      <w:r>
        <w:rPr>
          <w:rFonts w:ascii="Times New Roman" w:hAnsi="Times New Roman" w:cs="Times New Roman"/>
          <w:sz w:val="24"/>
          <w:szCs w:val="24"/>
        </w:rPr>
        <w:t xml:space="preserve"> EUR interest rates</w:t>
      </w:r>
      <w:r w:rsidRPr="005864D8">
        <w:rPr>
          <w:rFonts w:ascii="Times New Roman" w:hAnsi="Times New Roman" w:cs="Times New Roman"/>
          <w:sz w:val="24"/>
          <w:szCs w:val="24"/>
        </w:rPr>
        <w:t>)</w:t>
      </w:r>
      <w:r w:rsidR="000F3778">
        <w:rPr>
          <w:rFonts w:ascii="Times New Roman" w:hAnsi="Times New Roman" w:cs="Times New Roman"/>
          <w:sz w:val="24"/>
          <w:szCs w:val="24"/>
        </w:rPr>
        <w:t xml:space="preserve"> and of 7.7% and 9.7</w:t>
      </w:r>
      <w:r w:rsidRPr="005864D8">
        <w:rPr>
          <w:rFonts w:ascii="Times New Roman" w:hAnsi="Times New Roman" w:cs="Times New Roman"/>
          <w:sz w:val="24"/>
          <w:szCs w:val="24"/>
        </w:rPr>
        <w:t xml:space="preserve">% ( </w:t>
      </w:r>
      <w:r w:rsidR="000F3778">
        <w:rPr>
          <w:rFonts w:ascii="Times New Roman" w:hAnsi="Times New Roman" w:cs="Times New Roman"/>
          <w:sz w:val="24"/>
          <w:szCs w:val="24"/>
        </w:rPr>
        <w:t>for</w:t>
      </w:r>
      <w:r w:rsidRPr="005864D8">
        <w:rPr>
          <w:rFonts w:ascii="Times New Roman" w:hAnsi="Times New Roman" w:cs="Times New Roman"/>
          <w:sz w:val="24"/>
          <w:szCs w:val="24"/>
        </w:rPr>
        <w:t xml:space="preserve"> 10 years</w:t>
      </w:r>
      <w:r w:rsidR="000F3778">
        <w:rPr>
          <w:rFonts w:ascii="Times New Roman" w:hAnsi="Times New Roman" w:cs="Times New Roman"/>
          <w:sz w:val="24"/>
          <w:szCs w:val="24"/>
        </w:rPr>
        <w:t xml:space="preserve"> long term rates)</w:t>
      </w:r>
      <w:r w:rsidRPr="005864D8">
        <w:rPr>
          <w:rFonts w:ascii="Times New Roman" w:hAnsi="Times New Roman" w:cs="Times New Roman"/>
          <w:sz w:val="24"/>
          <w:szCs w:val="24"/>
        </w:rPr>
        <w:t>, 2008-2009</w:t>
      </w:r>
      <w:r w:rsidR="000F3778">
        <w:rPr>
          <w:rFonts w:ascii="Times New Roman" w:hAnsi="Times New Roman" w:cs="Times New Roman"/>
          <w:sz w:val="24"/>
          <w:szCs w:val="24"/>
        </w:rPr>
        <w:t xml:space="preserve"> period</w:t>
      </w:r>
      <w:r w:rsidRPr="005864D8">
        <w:rPr>
          <w:rFonts w:ascii="Times New Roman" w:hAnsi="Times New Roman" w:cs="Times New Roman"/>
          <w:sz w:val="24"/>
          <w:szCs w:val="24"/>
        </w:rPr>
        <w:t xml:space="preserve"> surprised</w:t>
      </w:r>
      <w:r w:rsidR="000F3778">
        <w:rPr>
          <w:rFonts w:ascii="Times New Roman" w:hAnsi="Times New Roman" w:cs="Times New Roman"/>
          <w:sz w:val="24"/>
          <w:szCs w:val="24"/>
        </w:rPr>
        <w:t xml:space="preserve"> a</w:t>
      </w:r>
      <w:r w:rsidRPr="005864D8">
        <w:rPr>
          <w:rFonts w:ascii="Times New Roman" w:hAnsi="Times New Roman" w:cs="Times New Roman"/>
          <w:sz w:val="24"/>
          <w:szCs w:val="24"/>
        </w:rPr>
        <w:t xml:space="preserve"> weaker economic activity </w:t>
      </w:r>
      <w:r w:rsidR="000F3778">
        <w:rPr>
          <w:rFonts w:ascii="Times New Roman" w:hAnsi="Times New Roman" w:cs="Times New Roman"/>
          <w:sz w:val="24"/>
          <w:szCs w:val="24"/>
        </w:rPr>
        <w:t xml:space="preserve">for the global market </w:t>
      </w:r>
      <w:r w:rsidRPr="005864D8">
        <w:rPr>
          <w:rFonts w:ascii="Times New Roman" w:hAnsi="Times New Roman" w:cs="Times New Roman"/>
          <w:sz w:val="24"/>
          <w:szCs w:val="24"/>
        </w:rPr>
        <w:t xml:space="preserve">due to a </w:t>
      </w:r>
      <w:r w:rsidR="000F3778">
        <w:rPr>
          <w:rFonts w:ascii="Times New Roman" w:hAnsi="Times New Roman" w:cs="Times New Roman"/>
          <w:sz w:val="24"/>
          <w:szCs w:val="24"/>
        </w:rPr>
        <w:t>lack of liquidity. Moreover</w:t>
      </w:r>
      <w:r w:rsidRPr="005864D8">
        <w:rPr>
          <w:rFonts w:ascii="Times New Roman" w:hAnsi="Times New Roman" w:cs="Times New Roman"/>
          <w:sz w:val="24"/>
          <w:szCs w:val="24"/>
        </w:rPr>
        <w:t xml:space="preserve">, </w:t>
      </w:r>
      <w:r w:rsidR="000F3778">
        <w:rPr>
          <w:rFonts w:ascii="Times New Roman" w:hAnsi="Times New Roman" w:cs="Times New Roman"/>
          <w:sz w:val="24"/>
          <w:szCs w:val="24"/>
        </w:rPr>
        <w:t xml:space="preserve">capital market </w:t>
      </w:r>
      <w:r w:rsidRPr="005864D8">
        <w:rPr>
          <w:rFonts w:ascii="Times New Roman" w:hAnsi="Times New Roman" w:cs="Times New Roman"/>
          <w:sz w:val="24"/>
          <w:szCs w:val="24"/>
        </w:rPr>
        <w:t>listing has become barely viable source</w:t>
      </w:r>
      <w:r w:rsidR="000F3778">
        <w:rPr>
          <w:rFonts w:ascii="Times New Roman" w:hAnsi="Times New Roman" w:cs="Times New Roman"/>
          <w:sz w:val="24"/>
          <w:szCs w:val="24"/>
        </w:rPr>
        <w:t xml:space="preserve"> of </w:t>
      </w:r>
      <w:r w:rsidR="000F3778" w:rsidRPr="005864D8">
        <w:rPr>
          <w:rFonts w:ascii="Times New Roman" w:hAnsi="Times New Roman" w:cs="Times New Roman"/>
          <w:sz w:val="24"/>
          <w:szCs w:val="24"/>
        </w:rPr>
        <w:t>financing</w:t>
      </w:r>
      <w:r w:rsidRPr="005864D8">
        <w:rPr>
          <w:rFonts w:ascii="Times New Roman" w:hAnsi="Times New Roman" w:cs="Times New Roman"/>
          <w:sz w:val="24"/>
          <w:szCs w:val="24"/>
        </w:rPr>
        <w:t xml:space="preserve"> </w:t>
      </w:r>
      <w:r w:rsidR="000F3778">
        <w:rPr>
          <w:rFonts w:ascii="Times New Roman" w:hAnsi="Times New Roman" w:cs="Times New Roman"/>
          <w:sz w:val="24"/>
          <w:szCs w:val="24"/>
        </w:rPr>
        <w:t xml:space="preserve">starting </w:t>
      </w:r>
      <w:r w:rsidRPr="005864D8">
        <w:rPr>
          <w:rFonts w:ascii="Times New Roman" w:hAnsi="Times New Roman" w:cs="Times New Roman"/>
          <w:sz w:val="24"/>
          <w:szCs w:val="24"/>
        </w:rPr>
        <w:t>from February 2015 through Aero</w:t>
      </w:r>
      <w:r w:rsidR="000F3778" w:rsidRPr="000F3778">
        <w:rPr>
          <w:rFonts w:ascii="Times New Roman" w:hAnsi="Times New Roman" w:cs="Times New Roman"/>
          <w:sz w:val="24"/>
          <w:szCs w:val="24"/>
        </w:rPr>
        <w:t xml:space="preserve"> </w:t>
      </w:r>
      <w:r w:rsidR="000F3778" w:rsidRPr="005864D8">
        <w:rPr>
          <w:rFonts w:ascii="Times New Roman" w:hAnsi="Times New Roman" w:cs="Times New Roman"/>
          <w:sz w:val="24"/>
          <w:szCs w:val="24"/>
        </w:rPr>
        <w:t>quotation</w:t>
      </w:r>
      <w:r w:rsidR="000F3778">
        <w:rPr>
          <w:rFonts w:ascii="Times New Roman" w:hAnsi="Times New Roman" w:cs="Times New Roman"/>
          <w:sz w:val="24"/>
          <w:szCs w:val="24"/>
        </w:rPr>
        <w:t xml:space="preserve"> for small </w:t>
      </w:r>
      <w:r w:rsidR="000F3778">
        <w:rPr>
          <w:rFonts w:ascii="Times New Roman" w:hAnsi="Times New Roman" w:cs="Times New Roman"/>
          <w:sz w:val="24"/>
          <w:szCs w:val="24"/>
        </w:rPr>
        <w:lastRenderedPageBreak/>
        <w:t>and medium companies. Until then, private equity f</w:t>
      </w:r>
      <w:r w:rsidRPr="005864D8">
        <w:rPr>
          <w:rFonts w:ascii="Times New Roman" w:hAnsi="Times New Roman" w:cs="Times New Roman"/>
          <w:sz w:val="24"/>
          <w:szCs w:val="24"/>
        </w:rPr>
        <w:t xml:space="preserve">unding was available to support </w:t>
      </w:r>
      <w:r w:rsidR="000F3778">
        <w:rPr>
          <w:rFonts w:ascii="Times New Roman" w:hAnsi="Times New Roman" w:cs="Times New Roman"/>
          <w:sz w:val="24"/>
          <w:szCs w:val="24"/>
        </w:rPr>
        <w:t>companies to cover their illiquidity issues</w:t>
      </w:r>
      <w:r w:rsidRPr="005864D8">
        <w:rPr>
          <w:rFonts w:ascii="Times New Roman" w:hAnsi="Times New Roman" w:cs="Times New Roman"/>
          <w:sz w:val="24"/>
          <w:szCs w:val="24"/>
        </w:rPr>
        <w:t>.</w:t>
      </w:r>
    </w:p>
    <w:p w:rsidR="000F3778" w:rsidRPr="000F3778" w:rsidRDefault="000F3778" w:rsidP="000F3778">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According SEEPEA</w:t>
      </w:r>
      <w:r w:rsidRPr="000F3778">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0F3778">
        <w:rPr>
          <w:rFonts w:ascii="Times New Roman" w:hAnsi="Times New Roman" w:cs="Times New Roman"/>
          <w:sz w:val="24"/>
          <w:szCs w:val="24"/>
        </w:rPr>
        <w:t xml:space="preserve">fastest </w:t>
      </w:r>
      <w:r>
        <w:rPr>
          <w:rFonts w:ascii="Times New Roman" w:hAnsi="Times New Roman" w:cs="Times New Roman"/>
          <w:sz w:val="24"/>
          <w:szCs w:val="24"/>
        </w:rPr>
        <w:t>private equity investments growing</w:t>
      </w:r>
      <w:r w:rsidRPr="000F3778">
        <w:rPr>
          <w:rFonts w:ascii="Times New Roman" w:hAnsi="Times New Roman" w:cs="Times New Roman"/>
          <w:sz w:val="24"/>
          <w:szCs w:val="24"/>
        </w:rPr>
        <w:t xml:space="preserve"> was recorded in 2007 w</w:t>
      </w:r>
      <w:r>
        <w:rPr>
          <w:rFonts w:ascii="Times New Roman" w:hAnsi="Times New Roman" w:cs="Times New Roman"/>
          <w:sz w:val="24"/>
          <w:szCs w:val="24"/>
        </w:rPr>
        <w:t>hen investment rose by over 400</w:t>
      </w:r>
      <w:r w:rsidRPr="000F3778">
        <w:rPr>
          <w:rFonts w:ascii="Times New Roman" w:hAnsi="Times New Roman" w:cs="Times New Roman"/>
          <w:sz w:val="24"/>
          <w:szCs w:val="24"/>
        </w:rPr>
        <w:t>% after one yea</w:t>
      </w:r>
      <w:r>
        <w:rPr>
          <w:rFonts w:ascii="Times New Roman" w:hAnsi="Times New Roman" w:cs="Times New Roman"/>
          <w:sz w:val="24"/>
          <w:szCs w:val="24"/>
        </w:rPr>
        <w:t>r's growth rate has exceeded only 60</w:t>
      </w:r>
      <w:r w:rsidRPr="000F3778">
        <w:rPr>
          <w:rFonts w:ascii="Times New Roman" w:hAnsi="Times New Roman" w:cs="Times New Roman"/>
          <w:sz w:val="24"/>
          <w:szCs w:val="24"/>
        </w:rPr>
        <w:t xml:space="preserve">% </w:t>
      </w:r>
      <w:r>
        <w:rPr>
          <w:rFonts w:ascii="Times New Roman" w:hAnsi="Times New Roman" w:cs="Times New Roman"/>
          <w:sz w:val="24"/>
          <w:szCs w:val="24"/>
        </w:rPr>
        <w:t>of the</w:t>
      </w:r>
      <w:r w:rsidRPr="000F3778">
        <w:rPr>
          <w:rFonts w:ascii="Times New Roman" w:hAnsi="Times New Roman" w:cs="Times New Roman"/>
          <w:sz w:val="24"/>
          <w:szCs w:val="24"/>
        </w:rPr>
        <w:t xml:space="preserve"> local market.</w:t>
      </w:r>
      <w:r>
        <w:rPr>
          <w:rFonts w:ascii="Times New Roman" w:hAnsi="Times New Roman" w:cs="Times New Roman"/>
          <w:sz w:val="24"/>
          <w:szCs w:val="24"/>
        </w:rPr>
        <w:t xml:space="preserve"> As a fact, the Romanian companies have captured the private equity funds attractiveness, being amounted at 156 million EUR and an average funding of 12 million RON for each targeted entity (Table 4.3.) </w:t>
      </w:r>
    </w:p>
    <w:p w:rsidR="004916E9" w:rsidRPr="008F00C9" w:rsidRDefault="004916E9" w:rsidP="004916E9">
      <w:pPr>
        <w:pStyle w:val="Caption"/>
        <w:spacing w:before="0" w:beforeAutospacing="0" w:after="0" w:afterAutospacing="0"/>
        <w:ind w:left="780"/>
        <w:rPr>
          <w:b/>
        </w:rPr>
      </w:pPr>
      <w:bookmarkStart w:id="30" w:name="_Toc449385161"/>
      <w:r w:rsidRPr="008F00C9">
        <w:rPr>
          <w:b/>
        </w:rPr>
        <w:t>Tab</w:t>
      </w:r>
      <w:r w:rsidR="0008154F">
        <w:rPr>
          <w:b/>
        </w:rPr>
        <w:t>le</w:t>
      </w:r>
      <w:r w:rsidRPr="008F00C9">
        <w:rPr>
          <w:b/>
        </w:rPr>
        <w:t xml:space="preserve"> 4. </w:t>
      </w:r>
      <w:r w:rsidR="004B4616" w:rsidRPr="008F00C9">
        <w:rPr>
          <w:b/>
        </w:rPr>
        <w:fldChar w:fldCharType="begin"/>
      </w:r>
      <w:r w:rsidRPr="008F00C9">
        <w:rPr>
          <w:b/>
        </w:rPr>
        <w:instrText xml:space="preserve"> SEQ Tabel_4. \* ARABIC </w:instrText>
      </w:r>
      <w:r w:rsidR="004B4616" w:rsidRPr="008F00C9">
        <w:rPr>
          <w:b/>
        </w:rPr>
        <w:fldChar w:fldCharType="separate"/>
      </w:r>
      <w:r w:rsidR="00695698" w:rsidRPr="008F00C9">
        <w:rPr>
          <w:b/>
          <w:noProof/>
        </w:rPr>
        <w:t>3</w:t>
      </w:r>
      <w:r w:rsidR="004B4616" w:rsidRPr="008F00C9">
        <w:rPr>
          <w:b/>
        </w:rPr>
        <w:fldChar w:fldCharType="end"/>
      </w:r>
      <w:r w:rsidRPr="008F00C9">
        <w:rPr>
          <w:b/>
        </w:rPr>
        <w:t xml:space="preserve"> </w:t>
      </w:r>
      <w:r w:rsidR="0008154F">
        <w:rPr>
          <w:b/>
        </w:rPr>
        <w:t xml:space="preserve">Evolution of private equity funds in </w:t>
      </w:r>
      <w:bookmarkEnd w:id="30"/>
      <w:r w:rsidR="0008154F">
        <w:rPr>
          <w:b/>
        </w:rPr>
        <w:t>Romania</w:t>
      </w:r>
    </w:p>
    <w:tbl>
      <w:tblPr>
        <w:tblW w:w="5000" w:type="pct"/>
        <w:tblLook w:val="04A0"/>
      </w:tblPr>
      <w:tblGrid>
        <w:gridCol w:w="5415"/>
        <w:gridCol w:w="636"/>
        <w:gridCol w:w="636"/>
        <w:gridCol w:w="578"/>
        <w:gridCol w:w="566"/>
        <w:gridCol w:w="578"/>
        <w:gridCol w:w="601"/>
        <w:gridCol w:w="566"/>
      </w:tblGrid>
      <w:tr w:rsidR="004916E9" w:rsidRPr="008F00C9" w:rsidTr="00695698">
        <w:trPr>
          <w:trHeight w:val="300"/>
        </w:trPr>
        <w:tc>
          <w:tcPr>
            <w:tcW w:w="30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rPr>
                <w:rFonts w:ascii="Times New Roman" w:eastAsia="Times New Roman" w:hAnsi="Times New Roman" w:cs="Times New Roman"/>
                <w:b/>
                <w:color w:val="000000"/>
                <w:sz w:val="14"/>
                <w:szCs w:val="24"/>
              </w:rPr>
            </w:pPr>
            <w:r w:rsidRPr="008F00C9">
              <w:rPr>
                <w:rFonts w:ascii="Times New Roman" w:eastAsia="Times New Roman" w:hAnsi="Times New Roman" w:cs="Times New Roman"/>
                <w:b/>
                <w:color w:val="000000"/>
                <w:sz w:val="14"/>
                <w:szCs w:val="24"/>
              </w:rPr>
              <w:t>Indicatori</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b/>
                <w:color w:val="000000"/>
                <w:sz w:val="14"/>
                <w:szCs w:val="24"/>
              </w:rPr>
            </w:pPr>
            <w:r w:rsidRPr="008F00C9">
              <w:rPr>
                <w:rFonts w:ascii="Times New Roman" w:eastAsia="Times New Roman" w:hAnsi="Times New Roman" w:cs="Times New Roman"/>
                <w:b/>
                <w:color w:val="000000"/>
                <w:sz w:val="14"/>
                <w:szCs w:val="24"/>
              </w:rPr>
              <w:t>2007</w:t>
            </w:r>
          </w:p>
        </w:tc>
        <w:tc>
          <w:tcPr>
            <w:tcW w:w="263" w:type="pct"/>
            <w:tcBorders>
              <w:top w:val="single" w:sz="4" w:space="0" w:color="auto"/>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b/>
                <w:color w:val="000000"/>
                <w:sz w:val="14"/>
                <w:szCs w:val="24"/>
              </w:rPr>
            </w:pPr>
            <w:r w:rsidRPr="008F00C9">
              <w:rPr>
                <w:rFonts w:ascii="Times New Roman" w:eastAsia="Times New Roman" w:hAnsi="Times New Roman" w:cs="Times New Roman"/>
                <w:b/>
                <w:color w:val="000000"/>
                <w:sz w:val="14"/>
                <w:szCs w:val="24"/>
              </w:rPr>
              <w:t>2008</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b/>
                <w:color w:val="000000"/>
                <w:sz w:val="14"/>
                <w:szCs w:val="24"/>
              </w:rPr>
            </w:pPr>
            <w:r w:rsidRPr="008F00C9">
              <w:rPr>
                <w:rFonts w:ascii="Times New Roman" w:eastAsia="Times New Roman" w:hAnsi="Times New Roman" w:cs="Times New Roman"/>
                <w:b/>
                <w:color w:val="000000"/>
                <w:sz w:val="14"/>
                <w:szCs w:val="24"/>
              </w:rPr>
              <w:t>2009</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b/>
                <w:color w:val="000000"/>
                <w:sz w:val="14"/>
                <w:szCs w:val="24"/>
              </w:rPr>
            </w:pPr>
            <w:r w:rsidRPr="008F00C9">
              <w:rPr>
                <w:rFonts w:ascii="Times New Roman" w:eastAsia="Times New Roman" w:hAnsi="Times New Roman" w:cs="Times New Roman"/>
                <w:b/>
                <w:color w:val="000000"/>
                <w:sz w:val="14"/>
                <w:szCs w:val="24"/>
              </w:rPr>
              <w:t>2010</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b/>
                <w:color w:val="000000"/>
                <w:sz w:val="14"/>
                <w:szCs w:val="24"/>
              </w:rPr>
            </w:pPr>
            <w:r w:rsidRPr="008F00C9">
              <w:rPr>
                <w:rFonts w:ascii="Times New Roman" w:eastAsia="Times New Roman" w:hAnsi="Times New Roman" w:cs="Times New Roman"/>
                <w:b/>
                <w:color w:val="000000"/>
                <w:sz w:val="14"/>
                <w:szCs w:val="24"/>
              </w:rPr>
              <w:t>2011</w:t>
            </w:r>
          </w:p>
        </w:tc>
        <w:tc>
          <w:tcPr>
            <w:tcW w:w="263" w:type="pct"/>
            <w:tcBorders>
              <w:top w:val="single" w:sz="4" w:space="0" w:color="auto"/>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b/>
                <w:color w:val="000000"/>
                <w:sz w:val="14"/>
                <w:szCs w:val="24"/>
              </w:rPr>
            </w:pPr>
            <w:r w:rsidRPr="008F00C9">
              <w:rPr>
                <w:rFonts w:ascii="Times New Roman" w:eastAsia="Times New Roman" w:hAnsi="Times New Roman" w:cs="Times New Roman"/>
                <w:b/>
                <w:color w:val="000000"/>
                <w:sz w:val="14"/>
                <w:szCs w:val="24"/>
              </w:rPr>
              <w:t>2012</w:t>
            </w:r>
          </w:p>
        </w:tc>
        <w:tc>
          <w:tcPr>
            <w:tcW w:w="263" w:type="pct"/>
            <w:tcBorders>
              <w:top w:val="single" w:sz="4" w:space="0" w:color="auto"/>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b/>
                <w:color w:val="000000"/>
                <w:sz w:val="14"/>
                <w:szCs w:val="24"/>
              </w:rPr>
            </w:pPr>
            <w:r w:rsidRPr="008F00C9">
              <w:rPr>
                <w:rFonts w:ascii="Times New Roman" w:eastAsia="Times New Roman" w:hAnsi="Times New Roman" w:cs="Times New Roman"/>
                <w:b/>
                <w:color w:val="000000"/>
                <w:sz w:val="14"/>
                <w:szCs w:val="24"/>
              </w:rPr>
              <w:t>2013</w:t>
            </w:r>
          </w:p>
        </w:tc>
      </w:tr>
      <w:tr w:rsidR="004916E9" w:rsidRPr="008F00C9" w:rsidTr="00695698">
        <w:trPr>
          <w:trHeight w:val="300"/>
        </w:trPr>
        <w:tc>
          <w:tcPr>
            <w:tcW w:w="3088" w:type="pct"/>
            <w:tcBorders>
              <w:top w:val="nil"/>
              <w:left w:val="single" w:sz="4" w:space="0" w:color="auto"/>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Investiții efectuate de fondurile de capital de risc in companiile românești (mii EUR)</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156050</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122584</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82865</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80338</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48075</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24276</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48450</w:t>
            </w:r>
          </w:p>
        </w:tc>
      </w:tr>
      <w:tr w:rsidR="004916E9" w:rsidRPr="008F00C9" w:rsidTr="00695698">
        <w:trPr>
          <w:trHeight w:val="300"/>
        </w:trPr>
        <w:tc>
          <w:tcPr>
            <w:tcW w:w="3088" w:type="pct"/>
            <w:tcBorders>
              <w:top w:val="nil"/>
              <w:left w:val="single" w:sz="4" w:space="0" w:color="auto"/>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Ritmul de creștere al investitiilor effectuate (∆%)</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 </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-21.45</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-32.40</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-3.05</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-40.16</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-49.50</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99.58</w:t>
            </w:r>
          </w:p>
        </w:tc>
      </w:tr>
      <w:tr w:rsidR="004916E9" w:rsidRPr="008F00C9" w:rsidTr="00695698">
        <w:trPr>
          <w:trHeight w:val="300"/>
        </w:trPr>
        <w:tc>
          <w:tcPr>
            <w:tcW w:w="3088" w:type="pct"/>
            <w:tcBorders>
              <w:top w:val="nil"/>
              <w:left w:val="single" w:sz="4" w:space="0" w:color="auto"/>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Numar companii finantate</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13</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20</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17</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11</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9</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8</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10</w:t>
            </w:r>
          </w:p>
        </w:tc>
      </w:tr>
      <w:tr w:rsidR="004916E9" w:rsidRPr="008F00C9" w:rsidTr="00695698">
        <w:trPr>
          <w:trHeight w:val="300"/>
        </w:trPr>
        <w:tc>
          <w:tcPr>
            <w:tcW w:w="3088" w:type="pct"/>
            <w:tcBorders>
              <w:top w:val="nil"/>
              <w:left w:val="single" w:sz="4" w:space="0" w:color="auto"/>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i/>
                <w:color w:val="000000"/>
                <w:sz w:val="14"/>
                <w:szCs w:val="24"/>
              </w:rPr>
            </w:pPr>
            <w:r w:rsidRPr="008F00C9">
              <w:rPr>
                <w:rFonts w:ascii="Times New Roman" w:eastAsia="Times New Roman" w:hAnsi="Times New Roman" w:cs="Times New Roman"/>
                <w:color w:val="000000"/>
                <w:sz w:val="14"/>
                <w:szCs w:val="24"/>
              </w:rPr>
              <w:t xml:space="preserve">Finantare de initiere a afacerii </w:t>
            </w:r>
            <w:r w:rsidRPr="008F00C9">
              <w:rPr>
                <w:rFonts w:ascii="Times New Roman" w:eastAsia="Times New Roman" w:hAnsi="Times New Roman" w:cs="Times New Roman"/>
                <w:i/>
                <w:color w:val="000000"/>
                <w:sz w:val="14"/>
                <w:szCs w:val="24"/>
              </w:rPr>
              <w:t>Start-up</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1</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2</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1</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0</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0</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0</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1</w:t>
            </w:r>
          </w:p>
        </w:tc>
      </w:tr>
      <w:tr w:rsidR="004916E9" w:rsidRPr="008F00C9" w:rsidTr="00695698">
        <w:trPr>
          <w:trHeight w:val="300"/>
        </w:trPr>
        <w:tc>
          <w:tcPr>
            <w:tcW w:w="3088" w:type="pct"/>
            <w:tcBorders>
              <w:top w:val="nil"/>
              <w:left w:val="single" w:sz="4" w:space="0" w:color="auto"/>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i/>
                <w:color w:val="000000"/>
                <w:sz w:val="14"/>
                <w:szCs w:val="24"/>
              </w:rPr>
            </w:pPr>
            <w:r w:rsidRPr="008F00C9">
              <w:rPr>
                <w:rFonts w:ascii="Times New Roman" w:eastAsia="Times New Roman" w:hAnsi="Times New Roman" w:cs="Times New Roman"/>
                <w:color w:val="000000"/>
                <w:sz w:val="14"/>
                <w:szCs w:val="24"/>
              </w:rPr>
              <w:t xml:space="preserve">Finantare de expansiune, dezvoltare si consolidare </w:t>
            </w:r>
            <w:r w:rsidRPr="008F00C9">
              <w:rPr>
                <w:rFonts w:ascii="Times New Roman" w:eastAsia="Times New Roman" w:hAnsi="Times New Roman" w:cs="Times New Roman"/>
                <w:i/>
                <w:color w:val="000000"/>
                <w:sz w:val="14"/>
                <w:szCs w:val="24"/>
              </w:rPr>
              <w:t>Growth</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3</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10</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12</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10</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8</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7</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6</w:t>
            </w:r>
          </w:p>
        </w:tc>
      </w:tr>
      <w:tr w:rsidR="004916E9" w:rsidRPr="008F00C9" w:rsidTr="00695698">
        <w:trPr>
          <w:trHeight w:val="300"/>
        </w:trPr>
        <w:tc>
          <w:tcPr>
            <w:tcW w:w="3088" w:type="pct"/>
            <w:tcBorders>
              <w:top w:val="nil"/>
              <w:left w:val="single" w:sz="4" w:space="0" w:color="auto"/>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 xml:space="preserve">Finantare prin achizitie titluri </w:t>
            </w:r>
            <w:r w:rsidRPr="008F00C9">
              <w:rPr>
                <w:rFonts w:ascii="Times New Roman" w:eastAsia="Times New Roman" w:hAnsi="Times New Roman" w:cs="Times New Roman"/>
                <w:i/>
                <w:color w:val="000000"/>
                <w:sz w:val="14"/>
                <w:szCs w:val="24"/>
              </w:rPr>
              <w:t>Buyouts</w:t>
            </w:r>
            <w:r w:rsidRPr="008F00C9">
              <w:rPr>
                <w:rFonts w:ascii="Times New Roman" w:eastAsia="Times New Roman" w:hAnsi="Times New Roman" w:cs="Times New Roman"/>
                <w:color w:val="000000"/>
                <w:sz w:val="14"/>
                <w:szCs w:val="24"/>
              </w:rPr>
              <w:t xml:space="preserve"> </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9</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8</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4</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1</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1</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1</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3</w:t>
            </w:r>
          </w:p>
        </w:tc>
      </w:tr>
      <w:tr w:rsidR="004916E9" w:rsidRPr="008F00C9" w:rsidTr="00695698">
        <w:trPr>
          <w:trHeight w:val="300"/>
        </w:trPr>
        <w:tc>
          <w:tcPr>
            <w:tcW w:w="3088" w:type="pct"/>
            <w:tcBorders>
              <w:top w:val="nil"/>
              <w:left w:val="single" w:sz="4" w:space="0" w:color="auto"/>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Finantare medie pe companie (mii EUR)</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12003</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6129.2</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4874</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7303</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5341</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3034.5</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8F00C9" w:rsidRDefault="004916E9" w:rsidP="00695698">
            <w:pPr>
              <w:spacing w:after="0" w:line="240" w:lineRule="auto"/>
              <w:jc w:val="right"/>
              <w:rPr>
                <w:rFonts w:ascii="Times New Roman" w:eastAsia="Times New Roman" w:hAnsi="Times New Roman" w:cs="Times New Roman"/>
                <w:color w:val="000000"/>
                <w:sz w:val="14"/>
                <w:szCs w:val="24"/>
              </w:rPr>
            </w:pPr>
            <w:r w:rsidRPr="008F00C9">
              <w:rPr>
                <w:rFonts w:ascii="Times New Roman" w:eastAsia="Times New Roman" w:hAnsi="Times New Roman" w:cs="Times New Roman"/>
                <w:color w:val="000000"/>
                <w:sz w:val="14"/>
                <w:szCs w:val="24"/>
              </w:rPr>
              <w:t>4845</w:t>
            </w:r>
          </w:p>
        </w:tc>
      </w:tr>
    </w:tbl>
    <w:p w:rsidR="004916E9" w:rsidRPr="008F00C9" w:rsidRDefault="00954A28" w:rsidP="004916E9">
      <w:pPr>
        <w:pStyle w:val="ListParagraph"/>
        <w:ind w:left="780"/>
        <w:rPr>
          <w:rFonts w:ascii="Times New Roman" w:hAnsi="Times New Roman" w:cs="Times New Roman"/>
          <w:sz w:val="24"/>
          <w:szCs w:val="24"/>
        </w:rPr>
      </w:pPr>
      <w:r>
        <w:rPr>
          <w:rFonts w:ascii="Times New Roman" w:hAnsi="Times New Roman" w:cs="Times New Roman"/>
          <w:sz w:val="24"/>
          <w:szCs w:val="24"/>
        </w:rPr>
        <w:t>Source</w:t>
      </w:r>
      <w:r w:rsidR="004916E9" w:rsidRPr="008F00C9">
        <w:rPr>
          <w:rFonts w:ascii="Times New Roman" w:hAnsi="Times New Roman" w:cs="Times New Roman"/>
          <w:sz w:val="24"/>
          <w:szCs w:val="24"/>
        </w:rPr>
        <w:t xml:space="preserve">: </w:t>
      </w:r>
      <w:r>
        <w:rPr>
          <w:rFonts w:ascii="Times New Roman" w:hAnsi="Times New Roman" w:cs="Times New Roman"/>
          <w:sz w:val="24"/>
          <w:szCs w:val="24"/>
        </w:rPr>
        <w:t>author’s own calculations using</w:t>
      </w:r>
      <w:r w:rsidR="004916E9" w:rsidRPr="008F00C9">
        <w:rPr>
          <w:rFonts w:ascii="Times New Roman" w:hAnsi="Times New Roman" w:cs="Times New Roman"/>
          <w:sz w:val="24"/>
          <w:szCs w:val="24"/>
        </w:rPr>
        <w:t xml:space="preserve"> EVCA și SEEPEA</w:t>
      </w:r>
      <w:r>
        <w:rPr>
          <w:rFonts w:ascii="Times New Roman" w:hAnsi="Times New Roman" w:cs="Times New Roman"/>
          <w:sz w:val="24"/>
          <w:szCs w:val="24"/>
        </w:rPr>
        <w:t xml:space="preserve"> statistics</w:t>
      </w:r>
    </w:p>
    <w:p w:rsidR="00080B1D" w:rsidRPr="0033747B" w:rsidRDefault="00080B1D" w:rsidP="00080B1D">
      <w:pPr>
        <w:spacing w:after="0" w:line="240" w:lineRule="auto"/>
        <w:jc w:val="both"/>
        <w:rPr>
          <w:rFonts w:ascii="Times New Roman" w:hAnsi="Times New Roman" w:cs="Times New Roman"/>
          <w:spacing w:val="-4"/>
          <w:sz w:val="24"/>
          <w:szCs w:val="24"/>
        </w:rPr>
      </w:pPr>
      <w:r w:rsidRPr="0033747B">
        <w:rPr>
          <w:rFonts w:ascii="Times New Roman" w:hAnsi="Times New Roman" w:cs="Times New Roman"/>
          <w:spacing w:val="-4"/>
          <w:sz w:val="24"/>
          <w:szCs w:val="24"/>
        </w:rPr>
        <w:t>Among the most attractive areas for private equity investments, energy, pharmaceuticals, telecommunications, financial services and retail trade provide the highest attractiveness, all 5 areas accumulating 50 % of the new invested amounts throughout the period 2007-2013 (Chart 4.1).</w:t>
      </w:r>
    </w:p>
    <w:p w:rsidR="00080B1D" w:rsidRPr="008F00C9" w:rsidRDefault="00080B1D" w:rsidP="00080B1D">
      <w:pPr>
        <w:pStyle w:val="Caption"/>
        <w:spacing w:before="0" w:beforeAutospacing="0" w:after="0" w:afterAutospacing="0"/>
        <w:jc w:val="center"/>
        <w:rPr>
          <w:b/>
        </w:rPr>
      </w:pPr>
      <w:bookmarkStart w:id="31" w:name="_Toc449385084"/>
      <w:r>
        <w:rPr>
          <w:b/>
        </w:rPr>
        <w:t>Chart</w:t>
      </w:r>
      <w:r w:rsidRPr="008F00C9">
        <w:rPr>
          <w:b/>
        </w:rPr>
        <w:t xml:space="preserve"> 4. </w:t>
      </w:r>
      <w:r w:rsidRPr="008F00C9">
        <w:rPr>
          <w:b/>
        </w:rPr>
        <w:fldChar w:fldCharType="begin"/>
      </w:r>
      <w:r w:rsidRPr="008F00C9">
        <w:rPr>
          <w:b/>
        </w:rPr>
        <w:instrText xml:space="preserve"> SEQ Grafic_4. \* ARABIC </w:instrText>
      </w:r>
      <w:r w:rsidRPr="008F00C9">
        <w:rPr>
          <w:b/>
        </w:rPr>
        <w:fldChar w:fldCharType="separate"/>
      </w:r>
      <w:r w:rsidRPr="008F00C9">
        <w:rPr>
          <w:b/>
          <w:noProof/>
        </w:rPr>
        <w:t>1</w:t>
      </w:r>
      <w:r w:rsidRPr="008F00C9">
        <w:rPr>
          <w:b/>
        </w:rPr>
        <w:fldChar w:fldCharType="end"/>
      </w:r>
      <w:r w:rsidRPr="008F00C9">
        <w:rPr>
          <w:b/>
        </w:rPr>
        <w:t xml:space="preserve"> </w:t>
      </w:r>
      <w:bookmarkEnd w:id="31"/>
      <w:r>
        <w:rPr>
          <w:b/>
        </w:rPr>
        <w:t>Sectorial distribution of the private equity investments in Romania</w:t>
      </w:r>
    </w:p>
    <w:p w:rsidR="00080B1D" w:rsidRDefault="00080B1D" w:rsidP="00080B1D">
      <w:pPr>
        <w:spacing w:after="12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240405" cy="1769110"/>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3240405" cy="1769110"/>
                    </a:xfrm>
                    <a:prstGeom prst="rect">
                      <a:avLst/>
                    </a:prstGeom>
                  </pic:spPr>
                </pic:pic>
              </a:graphicData>
            </a:graphic>
          </wp:inline>
        </w:drawing>
      </w:r>
    </w:p>
    <w:p w:rsidR="004916E9" w:rsidRPr="00080B1D" w:rsidRDefault="00954A28" w:rsidP="00080B1D">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Source</w:t>
      </w:r>
      <w:r w:rsidRPr="008F00C9">
        <w:rPr>
          <w:rFonts w:ascii="Times New Roman" w:hAnsi="Times New Roman" w:cs="Times New Roman"/>
          <w:sz w:val="24"/>
          <w:szCs w:val="24"/>
        </w:rPr>
        <w:t xml:space="preserve">: </w:t>
      </w:r>
      <w:r>
        <w:rPr>
          <w:rFonts w:ascii="Times New Roman" w:hAnsi="Times New Roman" w:cs="Times New Roman"/>
          <w:sz w:val="24"/>
          <w:szCs w:val="24"/>
        </w:rPr>
        <w:t>author’s own calculations using</w:t>
      </w:r>
      <w:r w:rsidRPr="008F00C9">
        <w:rPr>
          <w:rFonts w:ascii="Times New Roman" w:hAnsi="Times New Roman" w:cs="Times New Roman"/>
          <w:sz w:val="24"/>
          <w:szCs w:val="24"/>
        </w:rPr>
        <w:t xml:space="preserve"> EVCA și SEEPEA</w:t>
      </w:r>
      <w:r>
        <w:rPr>
          <w:rFonts w:ascii="Times New Roman" w:hAnsi="Times New Roman" w:cs="Times New Roman"/>
          <w:sz w:val="24"/>
          <w:szCs w:val="24"/>
        </w:rPr>
        <w:t xml:space="preserve"> statistics</w:t>
      </w:r>
      <w:r w:rsidR="00080B1D">
        <w:rPr>
          <w:rFonts w:ascii="Times New Roman" w:hAnsi="Times New Roman" w:cs="Times New Roman"/>
          <w:sz w:val="24"/>
          <w:szCs w:val="24"/>
        </w:rPr>
        <w:t xml:space="preserve"> </w:t>
      </w:r>
      <w:r w:rsidR="004916E9" w:rsidRPr="00080B1D">
        <w:rPr>
          <w:rFonts w:ascii="Times New Roman" w:hAnsi="Times New Roman" w:cs="Times New Roman"/>
          <w:sz w:val="24"/>
          <w:szCs w:val="24"/>
        </w:rPr>
        <w:t>(Anexa 19)</w:t>
      </w:r>
    </w:p>
    <w:p w:rsidR="00080B1D" w:rsidRDefault="00080B1D" w:rsidP="004916E9">
      <w:pPr>
        <w:spacing w:before="120" w:after="120" w:line="240" w:lineRule="auto"/>
        <w:jc w:val="both"/>
        <w:rPr>
          <w:rFonts w:ascii="Times New Roman" w:hAnsi="Times New Roman" w:cs="Times New Roman"/>
          <w:spacing w:val="-4"/>
          <w:sz w:val="24"/>
          <w:szCs w:val="24"/>
        </w:rPr>
      </w:pPr>
      <w:r w:rsidRPr="00080B1D">
        <w:rPr>
          <w:rFonts w:ascii="Times New Roman" w:hAnsi="Times New Roman" w:cs="Times New Roman"/>
          <w:spacing w:val="-4"/>
          <w:sz w:val="24"/>
          <w:szCs w:val="24"/>
        </w:rPr>
        <w:t xml:space="preserve">The best </w:t>
      </w:r>
      <w:r>
        <w:rPr>
          <w:rFonts w:ascii="Times New Roman" w:hAnsi="Times New Roman" w:cs="Times New Roman"/>
          <w:spacing w:val="-4"/>
          <w:sz w:val="24"/>
          <w:szCs w:val="24"/>
        </w:rPr>
        <w:t>exit results were related to</w:t>
      </w:r>
      <w:r w:rsidRPr="00080B1D">
        <w:rPr>
          <w:rFonts w:ascii="Times New Roman" w:hAnsi="Times New Roman" w:cs="Times New Roman"/>
          <w:spacing w:val="-4"/>
          <w:sz w:val="24"/>
          <w:szCs w:val="24"/>
        </w:rPr>
        <w:t xml:space="preserve"> amounts invested in </w:t>
      </w:r>
      <w:r>
        <w:rPr>
          <w:rFonts w:ascii="Times New Roman" w:hAnsi="Times New Roman" w:cs="Times New Roman"/>
          <w:spacing w:val="-4"/>
          <w:sz w:val="24"/>
          <w:szCs w:val="24"/>
        </w:rPr>
        <w:t xml:space="preserve">Romanian </w:t>
      </w:r>
      <w:r w:rsidRPr="00080B1D">
        <w:rPr>
          <w:rFonts w:ascii="Times New Roman" w:hAnsi="Times New Roman" w:cs="Times New Roman"/>
          <w:spacing w:val="-4"/>
          <w:sz w:val="24"/>
          <w:szCs w:val="24"/>
        </w:rPr>
        <w:t>companies</w:t>
      </w:r>
      <w:r>
        <w:rPr>
          <w:rFonts w:ascii="Times New Roman" w:hAnsi="Times New Roman" w:cs="Times New Roman"/>
          <w:spacing w:val="-4"/>
          <w:sz w:val="24"/>
          <w:szCs w:val="24"/>
        </w:rPr>
        <w:t>. More exactly, it</w:t>
      </w:r>
      <w:r w:rsidRPr="00080B1D">
        <w:rPr>
          <w:rFonts w:ascii="Times New Roman" w:hAnsi="Times New Roman" w:cs="Times New Roman"/>
          <w:spacing w:val="-4"/>
          <w:sz w:val="24"/>
          <w:szCs w:val="24"/>
        </w:rPr>
        <w:t xml:space="preserve"> was registered </w:t>
      </w:r>
      <w:r>
        <w:rPr>
          <w:rFonts w:ascii="Times New Roman" w:hAnsi="Times New Roman" w:cs="Times New Roman"/>
          <w:spacing w:val="-4"/>
          <w:sz w:val="24"/>
          <w:szCs w:val="24"/>
        </w:rPr>
        <w:t>within the</w:t>
      </w:r>
      <w:r w:rsidRPr="00080B1D">
        <w:rPr>
          <w:rFonts w:ascii="Times New Roman" w:hAnsi="Times New Roman" w:cs="Times New Roman"/>
          <w:spacing w:val="-4"/>
          <w:sz w:val="24"/>
          <w:szCs w:val="24"/>
        </w:rPr>
        <w:t xml:space="preserve"> </w:t>
      </w:r>
      <w:r>
        <w:rPr>
          <w:rFonts w:ascii="Times New Roman" w:hAnsi="Times New Roman" w:cs="Times New Roman"/>
          <w:spacing w:val="-4"/>
          <w:sz w:val="24"/>
          <w:szCs w:val="24"/>
        </w:rPr>
        <w:t>Healthcare sector, with significantly multiplied final amounts. At the same time</w:t>
      </w:r>
      <w:r w:rsidRPr="00080B1D">
        <w:rPr>
          <w:rFonts w:ascii="Times New Roman" w:hAnsi="Times New Roman" w:cs="Times New Roman"/>
          <w:spacing w:val="-4"/>
          <w:sz w:val="24"/>
          <w:szCs w:val="24"/>
        </w:rPr>
        <w:t xml:space="preserve">, the same sector generated a maximum </w:t>
      </w:r>
      <w:r>
        <w:rPr>
          <w:rFonts w:ascii="Times New Roman" w:hAnsi="Times New Roman" w:cs="Times New Roman"/>
          <w:spacing w:val="-4"/>
          <w:sz w:val="24"/>
          <w:szCs w:val="24"/>
        </w:rPr>
        <w:t xml:space="preserve">exit </w:t>
      </w:r>
      <w:r w:rsidRPr="00080B1D">
        <w:rPr>
          <w:rFonts w:ascii="Times New Roman" w:hAnsi="Times New Roman" w:cs="Times New Roman"/>
          <w:spacing w:val="-4"/>
          <w:sz w:val="24"/>
          <w:szCs w:val="24"/>
        </w:rPr>
        <w:t xml:space="preserve">value </w:t>
      </w:r>
      <w:r>
        <w:rPr>
          <w:rFonts w:ascii="Times New Roman" w:hAnsi="Times New Roman" w:cs="Times New Roman"/>
          <w:spacing w:val="-4"/>
          <w:sz w:val="24"/>
          <w:szCs w:val="24"/>
        </w:rPr>
        <w:t>of EUR 14.</w:t>
      </w:r>
      <w:r w:rsidRPr="00080B1D">
        <w:rPr>
          <w:rFonts w:ascii="Times New Roman" w:hAnsi="Times New Roman" w:cs="Times New Roman"/>
          <w:spacing w:val="-4"/>
          <w:sz w:val="24"/>
          <w:szCs w:val="24"/>
        </w:rPr>
        <w:t>965 thousand</w:t>
      </w:r>
      <w:r>
        <w:rPr>
          <w:rFonts w:ascii="Times New Roman" w:hAnsi="Times New Roman" w:cs="Times New Roman"/>
          <w:spacing w:val="-4"/>
          <w:sz w:val="24"/>
          <w:szCs w:val="24"/>
        </w:rPr>
        <w:t xml:space="preserve"> EUR (2009), becoming the </w:t>
      </w:r>
      <w:r w:rsidRPr="00080B1D">
        <w:rPr>
          <w:rFonts w:ascii="Times New Roman" w:hAnsi="Times New Roman" w:cs="Times New Roman"/>
          <w:spacing w:val="-4"/>
          <w:sz w:val="24"/>
          <w:szCs w:val="24"/>
        </w:rPr>
        <w:t xml:space="preserve">the most attractive </w:t>
      </w:r>
      <w:r>
        <w:rPr>
          <w:rFonts w:ascii="Times New Roman" w:hAnsi="Times New Roman" w:cs="Times New Roman"/>
          <w:spacing w:val="-4"/>
          <w:sz w:val="24"/>
          <w:szCs w:val="24"/>
        </w:rPr>
        <w:t>domain</w:t>
      </w:r>
      <w:r w:rsidRPr="00080B1D">
        <w:rPr>
          <w:rFonts w:ascii="Times New Roman" w:hAnsi="Times New Roman" w:cs="Times New Roman"/>
          <w:spacing w:val="-4"/>
          <w:sz w:val="24"/>
          <w:szCs w:val="24"/>
        </w:rPr>
        <w:t xml:space="preserve"> </w:t>
      </w:r>
      <w:r>
        <w:rPr>
          <w:rFonts w:ascii="Times New Roman" w:hAnsi="Times New Roman" w:cs="Times New Roman"/>
          <w:spacing w:val="-4"/>
          <w:sz w:val="24"/>
          <w:szCs w:val="24"/>
        </w:rPr>
        <w:t>for</w:t>
      </w:r>
      <w:r w:rsidRPr="00080B1D">
        <w:rPr>
          <w:rFonts w:ascii="Times New Roman" w:hAnsi="Times New Roman" w:cs="Times New Roman"/>
          <w:spacing w:val="-4"/>
          <w:sz w:val="24"/>
          <w:szCs w:val="24"/>
        </w:rPr>
        <w:t xml:space="preserve"> </w:t>
      </w:r>
      <w:r>
        <w:rPr>
          <w:rFonts w:ascii="Times New Roman" w:hAnsi="Times New Roman" w:cs="Times New Roman"/>
          <w:spacing w:val="-4"/>
          <w:sz w:val="24"/>
          <w:szCs w:val="24"/>
        </w:rPr>
        <w:t>private equity</w:t>
      </w:r>
      <w:r w:rsidRPr="00080B1D">
        <w:rPr>
          <w:rFonts w:ascii="Times New Roman" w:hAnsi="Times New Roman" w:cs="Times New Roman"/>
          <w:spacing w:val="-4"/>
          <w:sz w:val="24"/>
          <w:szCs w:val="24"/>
        </w:rPr>
        <w:t xml:space="preserve"> capital </w:t>
      </w:r>
      <w:r>
        <w:rPr>
          <w:rFonts w:ascii="Times New Roman" w:hAnsi="Times New Roman" w:cs="Times New Roman"/>
          <w:spacing w:val="-4"/>
          <w:sz w:val="24"/>
          <w:szCs w:val="24"/>
        </w:rPr>
        <w:t>portfolio investments</w:t>
      </w:r>
      <w:r w:rsidRPr="00080B1D">
        <w:rPr>
          <w:rFonts w:ascii="Times New Roman" w:hAnsi="Times New Roman" w:cs="Times New Roman"/>
          <w:spacing w:val="-4"/>
          <w:sz w:val="24"/>
          <w:szCs w:val="24"/>
        </w:rPr>
        <w:t>.</w:t>
      </w:r>
    </w:p>
    <w:p w:rsidR="00E15C1E" w:rsidRPr="00E15C1E" w:rsidRDefault="00E15C1E" w:rsidP="00E15C1E">
      <w:pPr>
        <w:spacing w:before="120" w:after="120" w:line="240" w:lineRule="auto"/>
        <w:jc w:val="both"/>
        <w:rPr>
          <w:rFonts w:ascii="Times New Roman" w:hAnsi="Times New Roman" w:cs="Times New Roman"/>
          <w:spacing w:val="-4"/>
          <w:sz w:val="24"/>
          <w:szCs w:val="24"/>
        </w:rPr>
      </w:pPr>
      <w:r w:rsidRPr="00E15C1E">
        <w:rPr>
          <w:rFonts w:ascii="Times New Roman" w:hAnsi="Times New Roman" w:cs="Times New Roman"/>
          <w:spacing w:val="-4"/>
          <w:sz w:val="24"/>
          <w:szCs w:val="24"/>
        </w:rPr>
        <w:t xml:space="preserve">Given that the stock market will keep liquidity levels at least </w:t>
      </w:r>
      <w:r>
        <w:rPr>
          <w:rFonts w:ascii="Times New Roman" w:hAnsi="Times New Roman" w:cs="Times New Roman"/>
          <w:spacing w:val="-4"/>
          <w:sz w:val="24"/>
          <w:szCs w:val="24"/>
        </w:rPr>
        <w:t xml:space="preserve">at the scores obtained in </w:t>
      </w:r>
      <w:r w:rsidRPr="00E15C1E">
        <w:rPr>
          <w:rFonts w:ascii="Times New Roman" w:hAnsi="Times New Roman" w:cs="Times New Roman"/>
          <w:spacing w:val="-4"/>
          <w:sz w:val="24"/>
          <w:szCs w:val="24"/>
        </w:rPr>
        <w:t xml:space="preserve">2012, the next period appears to be the </w:t>
      </w:r>
      <w:r>
        <w:rPr>
          <w:rFonts w:ascii="Times New Roman" w:hAnsi="Times New Roman" w:cs="Times New Roman"/>
          <w:spacing w:val="-4"/>
          <w:sz w:val="24"/>
          <w:szCs w:val="24"/>
        </w:rPr>
        <w:t>dynamic</w:t>
      </w:r>
      <w:r w:rsidRPr="00E15C1E">
        <w:rPr>
          <w:rFonts w:ascii="Times New Roman" w:hAnsi="Times New Roman" w:cs="Times New Roman"/>
          <w:spacing w:val="-4"/>
          <w:sz w:val="24"/>
          <w:szCs w:val="24"/>
        </w:rPr>
        <w:t xml:space="preserve"> for </w:t>
      </w:r>
      <w:r>
        <w:rPr>
          <w:rFonts w:ascii="Times New Roman" w:hAnsi="Times New Roman" w:cs="Times New Roman"/>
          <w:spacing w:val="-4"/>
          <w:sz w:val="24"/>
          <w:szCs w:val="24"/>
        </w:rPr>
        <w:t xml:space="preserve">the </w:t>
      </w:r>
      <w:r w:rsidRPr="00E15C1E">
        <w:rPr>
          <w:rFonts w:ascii="Times New Roman" w:hAnsi="Times New Roman" w:cs="Times New Roman"/>
          <w:spacing w:val="-4"/>
          <w:sz w:val="24"/>
          <w:szCs w:val="24"/>
        </w:rPr>
        <w:t>investment funds</w:t>
      </w:r>
      <w:r>
        <w:rPr>
          <w:rFonts w:ascii="Times New Roman" w:hAnsi="Times New Roman" w:cs="Times New Roman"/>
          <w:spacing w:val="-4"/>
          <w:sz w:val="24"/>
          <w:szCs w:val="24"/>
        </w:rPr>
        <w:t xml:space="preserve"> market</w:t>
      </w:r>
      <w:r w:rsidRPr="00E15C1E">
        <w:rPr>
          <w:rFonts w:ascii="Times New Roman" w:hAnsi="Times New Roman" w:cs="Times New Roman"/>
          <w:spacing w:val="-4"/>
          <w:sz w:val="24"/>
          <w:szCs w:val="24"/>
        </w:rPr>
        <w:t>. Alike, attracting fundin</w:t>
      </w:r>
      <w:r>
        <w:rPr>
          <w:rFonts w:ascii="Times New Roman" w:hAnsi="Times New Roman" w:cs="Times New Roman"/>
          <w:spacing w:val="-4"/>
          <w:sz w:val="24"/>
          <w:szCs w:val="24"/>
        </w:rPr>
        <w:t xml:space="preserve">g will provide support for new </w:t>
      </w:r>
      <w:r w:rsidR="00080B1D">
        <w:rPr>
          <w:rFonts w:ascii="Times New Roman" w:hAnsi="Times New Roman" w:cs="Times New Roman"/>
          <w:spacing w:val="-4"/>
          <w:sz w:val="24"/>
          <w:szCs w:val="24"/>
        </w:rPr>
        <w:t>investments and</w:t>
      </w:r>
      <w:r>
        <w:rPr>
          <w:rFonts w:ascii="Times New Roman" w:hAnsi="Times New Roman" w:cs="Times New Roman"/>
          <w:spacing w:val="-4"/>
          <w:sz w:val="24"/>
          <w:szCs w:val="24"/>
        </w:rPr>
        <w:t xml:space="preserve"> </w:t>
      </w:r>
      <w:r w:rsidRPr="00E15C1E">
        <w:rPr>
          <w:rFonts w:ascii="Times New Roman" w:hAnsi="Times New Roman" w:cs="Times New Roman"/>
          <w:spacing w:val="-4"/>
          <w:sz w:val="24"/>
          <w:szCs w:val="24"/>
        </w:rPr>
        <w:t>portfolio investors will step up their assets</w:t>
      </w:r>
      <w:r>
        <w:rPr>
          <w:rFonts w:ascii="Times New Roman" w:hAnsi="Times New Roman" w:cs="Times New Roman"/>
          <w:spacing w:val="-4"/>
          <w:sz w:val="24"/>
          <w:szCs w:val="24"/>
        </w:rPr>
        <w:t xml:space="preserve"> allocations within the domestic market </w:t>
      </w:r>
      <w:r w:rsidR="00080B1D">
        <w:rPr>
          <w:rFonts w:ascii="Times New Roman" w:hAnsi="Times New Roman" w:cs="Times New Roman"/>
          <w:spacing w:val="-4"/>
          <w:sz w:val="24"/>
          <w:szCs w:val="24"/>
        </w:rPr>
        <w:t>(</w:t>
      </w:r>
      <w:r>
        <w:rPr>
          <w:rFonts w:ascii="Times New Roman" w:hAnsi="Times New Roman" w:cs="Times New Roman"/>
          <w:spacing w:val="-4"/>
          <w:sz w:val="24"/>
          <w:szCs w:val="24"/>
        </w:rPr>
        <w:t>Radu &amp; Nistor 2010)</w:t>
      </w:r>
      <w:r w:rsidRPr="00E15C1E">
        <w:rPr>
          <w:rFonts w:ascii="Times New Roman" w:hAnsi="Times New Roman" w:cs="Times New Roman"/>
          <w:spacing w:val="-4"/>
          <w:sz w:val="24"/>
          <w:szCs w:val="24"/>
        </w:rPr>
        <w:t xml:space="preserve">. Thus, the background to achieve a constant demand for </w:t>
      </w:r>
      <w:r>
        <w:rPr>
          <w:rFonts w:ascii="Times New Roman" w:hAnsi="Times New Roman" w:cs="Times New Roman"/>
          <w:spacing w:val="-4"/>
          <w:sz w:val="24"/>
          <w:szCs w:val="24"/>
        </w:rPr>
        <w:t>investment funds allocations</w:t>
      </w:r>
      <w:r w:rsidRPr="00E15C1E">
        <w:rPr>
          <w:rFonts w:ascii="Times New Roman" w:hAnsi="Times New Roman" w:cs="Times New Roman"/>
          <w:spacing w:val="-4"/>
          <w:sz w:val="24"/>
          <w:szCs w:val="24"/>
        </w:rPr>
        <w:t xml:space="preserve">, </w:t>
      </w:r>
      <w:r>
        <w:rPr>
          <w:rFonts w:ascii="Times New Roman" w:hAnsi="Times New Roman" w:cs="Times New Roman"/>
          <w:spacing w:val="-4"/>
          <w:sz w:val="24"/>
          <w:szCs w:val="24"/>
        </w:rPr>
        <w:t>the funding</w:t>
      </w:r>
      <w:r w:rsidRPr="00E15C1E">
        <w:rPr>
          <w:rFonts w:ascii="Times New Roman" w:hAnsi="Times New Roman" w:cs="Times New Roman"/>
          <w:spacing w:val="-4"/>
          <w:sz w:val="24"/>
          <w:szCs w:val="24"/>
        </w:rPr>
        <w:t xml:space="preserve"> mechanism has to prefigure </w:t>
      </w:r>
      <w:r w:rsidR="00080B1D">
        <w:rPr>
          <w:rFonts w:ascii="Times New Roman" w:hAnsi="Times New Roman" w:cs="Times New Roman"/>
          <w:spacing w:val="-4"/>
          <w:sz w:val="24"/>
          <w:szCs w:val="24"/>
        </w:rPr>
        <w:t xml:space="preserve">benefits for </w:t>
      </w:r>
      <w:r w:rsidRPr="00E15C1E">
        <w:rPr>
          <w:rFonts w:ascii="Times New Roman" w:hAnsi="Times New Roman" w:cs="Times New Roman"/>
          <w:spacing w:val="-4"/>
          <w:sz w:val="24"/>
          <w:szCs w:val="24"/>
        </w:rPr>
        <w:t>both</w:t>
      </w:r>
      <w:r w:rsidR="00080B1D">
        <w:rPr>
          <w:rFonts w:ascii="Times New Roman" w:hAnsi="Times New Roman" w:cs="Times New Roman"/>
          <w:spacing w:val="-4"/>
          <w:sz w:val="24"/>
          <w:szCs w:val="24"/>
        </w:rPr>
        <w:t xml:space="preserve"> funded</w:t>
      </w:r>
      <w:r w:rsidRPr="00E15C1E">
        <w:rPr>
          <w:rFonts w:ascii="Times New Roman" w:hAnsi="Times New Roman" w:cs="Times New Roman"/>
          <w:spacing w:val="-4"/>
          <w:sz w:val="24"/>
          <w:szCs w:val="24"/>
        </w:rPr>
        <w:t xml:space="preserve"> companies </w:t>
      </w:r>
      <w:r w:rsidR="00080B1D">
        <w:rPr>
          <w:rFonts w:ascii="Times New Roman" w:hAnsi="Times New Roman" w:cs="Times New Roman"/>
          <w:spacing w:val="-4"/>
          <w:sz w:val="24"/>
          <w:szCs w:val="24"/>
        </w:rPr>
        <w:t>and as well for investment fund’s investors.</w:t>
      </w:r>
    </w:p>
    <w:p w:rsidR="004916E9" w:rsidRPr="008F00C9" w:rsidRDefault="004916E9" w:rsidP="00B37277"/>
    <w:p w:rsidR="00B37277" w:rsidRPr="008F00C9" w:rsidRDefault="00FC54A8" w:rsidP="00FC54A8">
      <w:pPr>
        <w:pStyle w:val="Heading2"/>
        <w:rPr>
          <w:i/>
        </w:rPr>
      </w:pPr>
      <w:bookmarkStart w:id="32" w:name="_Toc452412568"/>
      <w:r w:rsidRPr="008F00C9">
        <w:rPr>
          <w:i/>
        </w:rPr>
        <w:lastRenderedPageBreak/>
        <w:t>Chapter 5. Empiric analysis of Romanian mutual funds performance valuation</w:t>
      </w:r>
      <w:bookmarkEnd w:id="32"/>
    </w:p>
    <w:p w:rsidR="00FC54A8" w:rsidRPr="008F00C9" w:rsidRDefault="00FC54A8" w:rsidP="00FC54A8"/>
    <w:p w:rsidR="00243D64" w:rsidRDefault="00243D64" w:rsidP="00243D64">
      <w:pPr>
        <w:spacing w:after="120" w:line="240" w:lineRule="auto"/>
        <w:jc w:val="both"/>
        <w:rPr>
          <w:rFonts w:ascii="Times New Roman" w:hAnsi="Times New Roman" w:cs="Times New Roman"/>
          <w:spacing w:val="-2"/>
          <w:sz w:val="24"/>
          <w:szCs w:val="24"/>
        </w:rPr>
      </w:pPr>
      <w:r w:rsidRPr="00243D64">
        <w:rPr>
          <w:rFonts w:ascii="Times New Roman" w:hAnsi="Times New Roman" w:cs="Times New Roman"/>
          <w:spacing w:val="-2"/>
          <w:sz w:val="24"/>
          <w:szCs w:val="24"/>
        </w:rPr>
        <w:t xml:space="preserve">Empirical investigations using the </w:t>
      </w:r>
      <w:r w:rsidR="00510C5B">
        <w:rPr>
          <w:rFonts w:ascii="Times New Roman" w:hAnsi="Times New Roman" w:cs="Times New Roman"/>
          <w:spacing w:val="-2"/>
          <w:sz w:val="24"/>
          <w:szCs w:val="24"/>
        </w:rPr>
        <w:t xml:space="preserve">multifactorial regression models and </w:t>
      </w:r>
      <w:r w:rsidRPr="00243D64">
        <w:rPr>
          <w:rFonts w:ascii="Times New Roman" w:hAnsi="Times New Roman" w:cs="Times New Roman"/>
          <w:spacing w:val="-2"/>
          <w:sz w:val="24"/>
          <w:szCs w:val="24"/>
        </w:rPr>
        <w:t>Data Envelopment Analsys</w:t>
      </w:r>
      <w:r w:rsidR="00510C5B">
        <w:rPr>
          <w:rFonts w:ascii="Times New Roman" w:hAnsi="Times New Roman" w:cs="Times New Roman"/>
          <w:spacing w:val="-2"/>
          <w:sz w:val="24"/>
          <w:szCs w:val="24"/>
        </w:rPr>
        <w:t xml:space="preserve"> </w:t>
      </w:r>
      <w:r w:rsidR="00510C5B" w:rsidRPr="00243D64">
        <w:rPr>
          <w:rFonts w:ascii="Times New Roman" w:hAnsi="Times New Roman" w:cs="Times New Roman"/>
          <w:spacing w:val="-2"/>
          <w:sz w:val="24"/>
          <w:szCs w:val="24"/>
        </w:rPr>
        <w:t>method</w:t>
      </w:r>
      <w:r w:rsidR="00510C5B">
        <w:rPr>
          <w:rFonts w:ascii="Times New Roman" w:hAnsi="Times New Roman" w:cs="Times New Roman"/>
          <w:spacing w:val="-2"/>
          <w:sz w:val="24"/>
          <w:szCs w:val="24"/>
        </w:rPr>
        <w:t xml:space="preserve"> have</w:t>
      </w:r>
      <w:r w:rsidRPr="00243D64">
        <w:rPr>
          <w:rFonts w:ascii="Times New Roman" w:hAnsi="Times New Roman" w:cs="Times New Roman"/>
          <w:spacing w:val="-2"/>
          <w:sz w:val="24"/>
          <w:szCs w:val="24"/>
        </w:rPr>
        <w:t xml:space="preserve"> substantially co</w:t>
      </w:r>
      <w:r w:rsidR="00510C5B">
        <w:rPr>
          <w:rFonts w:ascii="Times New Roman" w:hAnsi="Times New Roman" w:cs="Times New Roman"/>
          <w:spacing w:val="-2"/>
          <w:sz w:val="24"/>
          <w:szCs w:val="24"/>
        </w:rPr>
        <w:t xml:space="preserve">mplemented our study and their </w:t>
      </w:r>
      <w:r w:rsidRPr="00243D64">
        <w:rPr>
          <w:rFonts w:ascii="Times New Roman" w:hAnsi="Times New Roman" w:cs="Times New Roman"/>
          <w:spacing w:val="-2"/>
          <w:sz w:val="24"/>
          <w:szCs w:val="24"/>
        </w:rPr>
        <w:t xml:space="preserve">results are significant </w:t>
      </w:r>
      <w:r w:rsidR="00510C5B">
        <w:rPr>
          <w:rFonts w:ascii="Times New Roman" w:hAnsi="Times New Roman" w:cs="Times New Roman"/>
          <w:spacing w:val="-2"/>
          <w:sz w:val="24"/>
          <w:szCs w:val="24"/>
        </w:rPr>
        <w:t xml:space="preserve">in outlining the development of Romanian </w:t>
      </w:r>
      <w:r w:rsidRPr="00243D64">
        <w:rPr>
          <w:rFonts w:ascii="Times New Roman" w:hAnsi="Times New Roman" w:cs="Times New Roman"/>
          <w:spacing w:val="-2"/>
          <w:sz w:val="24"/>
          <w:szCs w:val="24"/>
        </w:rPr>
        <w:t>investment funds.</w:t>
      </w:r>
    </w:p>
    <w:p w:rsidR="00243D64" w:rsidRDefault="00510C5B" w:rsidP="00651079">
      <w:pPr>
        <w:spacing w:after="12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In the first part, the developed econometric model, </w:t>
      </w:r>
      <w:r w:rsidRPr="00510C5B">
        <w:rPr>
          <w:rFonts w:ascii="Times New Roman" w:hAnsi="Times New Roman" w:cs="Times New Roman"/>
          <w:spacing w:val="-2"/>
          <w:sz w:val="24"/>
          <w:szCs w:val="24"/>
        </w:rPr>
        <w:t>quantifies and explains the performance of the Romania</w:t>
      </w:r>
      <w:r>
        <w:rPr>
          <w:rFonts w:ascii="Times New Roman" w:hAnsi="Times New Roman" w:cs="Times New Roman"/>
          <w:spacing w:val="-2"/>
          <w:sz w:val="24"/>
          <w:szCs w:val="24"/>
        </w:rPr>
        <w:t xml:space="preserve">n mutual funds considering an eight indicators </w:t>
      </w:r>
      <w:r w:rsidRPr="00510C5B">
        <w:rPr>
          <w:rFonts w:ascii="Times New Roman" w:hAnsi="Times New Roman" w:cs="Times New Roman"/>
          <w:spacing w:val="-2"/>
          <w:sz w:val="24"/>
          <w:szCs w:val="24"/>
        </w:rPr>
        <w:t xml:space="preserve">panel data </w:t>
      </w:r>
      <w:r>
        <w:rPr>
          <w:rFonts w:ascii="Times New Roman" w:hAnsi="Times New Roman" w:cs="Times New Roman"/>
          <w:spacing w:val="-2"/>
          <w:sz w:val="24"/>
          <w:szCs w:val="24"/>
        </w:rPr>
        <w:t>within</w:t>
      </w:r>
      <w:r w:rsidRPr="00510C5B">
        <w:rPr>
          <w:rFonts w:ascii="Times New Roman" w:hAnsi="Times New Roman" w:cs="Times New Roman"/>
          <w:spacing w:val="-2"/>
          <w:sz w:val="24"/>
          <w:szCs w:val="24"/>
        </w:rPr>
        <w:t xml:space="preserve"> a monthly </w:t>
      </w:r>
      <w:r>
        <w:rPr>
          <w:rFonts w:ascii="Times New Roman" w:hAnsi="Times New Roman" w:cs="Times New Roman"/>
          <w:spacing w:val="-2"/>
          <w:sz w:val="24"/>
          <w:szCs w:val="24"/>
        </w:rPr>
        <w:t xml:space="preserve">evolution between time period 2006-2015, distinctively for equity funds and balanced funds market. The driven results </w:t>
      </w:r>
      <w:r w:rsidRPr="00510C5B">
        <w:rPr>
          <w:rFonts w:ascii="Times New Roman" w:hAnsi="Times New Roman" w:cs="Times New Roman"/>
          <w:spacing w:val="-2"/>
          <w:sz w:val="24"/>
          <w:szCs w:val="24"/>
        </w:rPr>
        <w:t xml:space="preserve">consistently demonstrate a significant positive effect of the </w:t>
      </w:r>
      <w:r>
        <w:rPr>
          <w:rFonts w:ascii="Times New Roman" w:hAnsi="Times New Roman" w:cs="Times New Roman"/>
          <w:spacing w:val="-2"/>
          <w:sz w:val="24"/>
          <w:szCs w:val="24"/>
        </w:rPr>
        <w:t>NAV persistance</w:t>
      </w:r>
      <w:r w:rsidRPr="00510C5B">
        <w:rPr>
          <w:rFonts w:ascii="Times New Roman" w:hAnsi="Times New Roman" w:cs="Times New Roman"/>
          <w:spacing w:val="-2"/>
          <w:sz w:val="24"/>
          <w:szCs w:val="24"/>
        </w:rPr>
        <w:t xml:space="preserve">, </w:t>
      </w:r>
      <w:r>
        <w:rPr>
          <w:rFonts w:ascii="Times New Roman" w:hAnsi="Times New Roman" w:cs="Times New Roman"/>
          <w:spacing w:val="-2"/>
          <w:sz w:val="24"/>
          <w:szCs w:val="24"/>
        </w:rPr>
        <w:t>risk and return’s rate</w:t>
      </w:r>
      <w:r w:rsidRPr="00510C5B">
        <w:rPr>
          <w:rFonts w:ascii="Times New Roman" w:hAnsi="Times New Roman" w:cs="Times New Roman"/>
          <w:spacing w:val="-2"/>
          <w:sz w:val="24"/>
          <w:szCs w:val="24"/>
        </w:rPr>
        <w:t>, market share and market conditions o</w:t>
      </w:r>
      <w:r>
        <w:rPr>
          <w:rFonts w:ascii="Times New Roman" w:hAnsi="Times New Roman" w:cs="Times New Roman"/>
          <w:spacing w:val="-2"/>
          <w:sz w:val="24"/>
          <w:szCs w:val="24"/>
        </w:rPr>
        <w:t>ver</w:t>
      </w:r>
      <w:r w:rsidRPr="00510C5B">
        <w:rPr>
          <w:rFonts w:ascii="Times New Roman" w:hAnsi="Times New Roman" w:cs="Times New Roman"/>
          <w:spacing w:val="-2"/>
          <w:sz w:val="24"/>
          <w:szCs w:val="24"/>
        </w:rPr>
        <w:t xml:space="preserve"> the </w:t>
      </w:r>
      <w:r>
        <w:rPr>
          <w:rFonts w:ascii="Times New Roman" w:hAnsi="Times New Roman" w:cs="Times New Roman"/>
          <w:spacing w:val="-2"/>
          <w:sz w:val="24"/>
          <w:szCs w:val="24"/>
        </w:rPr>
        <w:t>Romanian</w:t>
      </w:r>
      <w:r w:rsidRPr="00510C5B">
        <w:rPr>
          <w:rFonts w:ascii="Times New Roman" w:hAnsi="Times New Roman" w:cs="Times New Roman"/>
          <w:spacing w:val="-2"/>
          <w:sz w:val="24"/>
          <w:szCs w:val="24"/>
        </w:rPr>
        <w:t xml:space="preserve"> investment funds </w:t>
      </w:r>
      <w:r>
        <w:rPr>
          <w:rFonts w:ascii="Times New Roman" w:hAnsi="Times New Roman" w:cs="Times New Roman"/>
          <w:spacing w:val="-2"/>
          <w:sz w:val="24"/>
          <w:szCs w:val="24"/>
        </w:rPr>
        <w:t>total net assets growth. On the other hand</w:t>
      </w:r>
      <w:r w:rsidRPr="00510C5B">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the reduced </w:t>
      </w:r>
      <w:r w:rsidRPr="00510C5B">
        <w:rPr>
          <w:rFonts w:ascii="Times New Roman" w:hAnsi="Times New Roman" w:cs="Times New Roman"/>
          <w:spacing w:val="-2"/>
          <w:sz w:val="24"/>
          <w:szCs w:val="24"/>
        </w:rPr>
        <w:t>histor</w:t>
      </w:r>
      <w:r>
        <w:rPr>
          <w:rFonts w:ascii="Times New Roman" w:hAnsi="Times New Roman" w:cs="Times New Roman"/>
          <w:spacing w:val="-2"/>
          <w:sz w:val="24"/>
          <w:szCs w:val="24"/>
        </w:rPr>
        <w:t xml:space="preserve">ical evidences and investor’s moderate financial literacy have become </w:t>
      </w:r>
      <w:r w:rsidRPr="00510C5B">
        <w:rPr>
          <w:rFonts w:ascii="Times New Roman" w:hAnsi="Times New Roman" w:cs="Times New Roman"/>
          <w:spacing w:val="-2"/>
          <w:sz w:val="24"/>
          <w:szCs w:val="24"/>
        </w:rPr>
        <w:t>factors</w:t>
      </w:r>
      <w:r>
        <w:rPr>
          <w:rFonts w:ascii="Times New Roman" w:hAnsi="Times New Roman" w:cs="Times New Roman"/>
          <w:spacing w:val="-2"/>
          <w:sz w:val="24"/>
          <w:szCs w:val="24"/>
        </w:rPr>
        <w:t xml:space="preserve"> that are</w:t>
      </w:r>
      <w:r w:rsidRPr="00510C5B">
        <w:rPr>
          <w:rFonts w:ascii="Times New Roman" w:hAnsi="Times New Roman" w:cs="Times New Roman"/>
          <w:spacing w:val="-2"/>
          <w:sz w:val="24"/>
          <w:szCs w:val="24"/>
        </w:rPr>
        <w:t xml:space="preserve"> dampening investment funds</w:t>
      </w:r>
      <w:r>
        <w:rPr>
          <w:rFonts w:ascii="Times New Roman" w:hAnsi="Times New Roman" w:cs="Times New Roman"/>
          <w:spacing w:val="-2"/>
          <w:sz w:val="24"/>
          <w:szCs w:val="24"/>
        </w:rPr>
        <w:t xml:space="preserve"> dynamics</w:t>
      </w:r>
      <w:r w:rsidRPr="00510C5B">
        <w:rPr>
          <w:rFonts w:ascii="Times New Roman" w:hAnsi="Times New Roman" w:cs="Times New Roman"/>
          <w:spacing w:val="-2"/>
          <w:sz w:val="24"/>
          <w:szCs w:val="24"/>
        </w:rPr>
        <w:t>.</w:t>
      </w:r>
      <w:r>
        <w:rPr>
          <w:rFonts w:ascii="Times New Roman" w:hAnsi="Times New Roman" w:cs="Times New Roman"/>
          <w:spacing w:val="-2"/>
          <w:sz w:val="24"/>
          <w:szCs w:val="24"/>
        </w:rPr>
        <w:t xml:space="preserve"> Beside this, the fifth chapter </w:t>
      </w:r>
      <w:r w:rsidR="00131D9E">
        <w:rPr>
          <w:rFonts w:ascii="Times New Roman" w:hAnsi="Times New Roman" w:cs="Times New Roman"/>
          <w:spacing w:val="-2"/>
          <w:sz w:val="24"/>
          <w:szCs w:val="24"/>
        </w:rPr>
        <w:t xml:space="preserve">provides a novelty approach of performance evaluation of mutual funds using the non-parametric method of DEA analysis. </w:t>
      </w:r>
    </w:p>
    <w:p w:rsidR="00510C5B" w:rsidRPr="00510C5B" w:rsidRDefault="00510C5B" w:rsidP="00510C5B">
      <w:pPr>
        <w:spacing w:after="120" w:line="240" w:lineRule="auto"/>
        <w:jc w:val="both"/>
        <w:rPr>
          <w:rFonts w:ascii="Times New Roman" w:hAnsi="Times New Roman" w:cs="Times New Roman"/>
          <w:spacing w:val="-2"/>
          <w:sz w:val="24"/>
          <w:szCs w:val="24"/>
        </w:rPr>
      </w:pPr>
      <w:r w:rsidRPr="00510C5B">
        <w:rPr>
          <w:rFonts w:ascii="Times New Roman" w:hAnsi="Times New Roman" w:cs="Times New Roman"/>
          <w:spacing w:val="-2"/>
          <w:sz w:val="24"/>
          <w:szCs w:val="24"/>
        </w:rPr>
        <w:t xml:space="preserve">Research is representative thus founded the investment fund efficiency analysis method nonparametric Data Envelopment Analysis </w:t>
      </w:r>
      <w:r w:rsidR="00131D9E">
        <w:rPr>
          <w:rFonts w:ascii="Times New Roman" w:hAnsi="Times New Roman" w:cs="Times New Roman"/>
          <w:spacing w:val="-2"/>
          <w:sz w:val="24"/>
          <w:szCs w:val="24"/>
        </w:rPr>
        <w:t>–</w:t>
      </w:r>
      <w:r w:rsidRPr="00510C5B">
        <w:rPr>
          <w:rFonts w:ascii="Times New Roman" w:hAnsi="Times New Roman" w:cs="Times New Roman"/>
          <w:spacing w:val="-2"/>
          <w:sz w:val="24"/>
          <w:szCs w:val="24"/>
        </w:rPr>
        <w:t xml:space="preserve"> DEA</w:t>
      </w:r>
      <w:r w:rsidR="00131D9E">
        <w:rPr>
          <w:rFonts w:ascii="Times New Roman" w:hAnsi="Times New Roman" w:cs="Times New Roman"/>
          <w:spacing w:val="-2"/>
          <w:sz w:val="24"/>
          <w:szCs w:val="24"/>
        </w:rPr>
        <w:t>. Thus, the research enhances the investment funds efficiency analysis within a new founded method that has not yet been applied for the Romanian market.</w:t>
      </w:r>
    </w:p>
    <w:p w:rsidR="00131D9E" w:rsidRPr="00131D9E" w:rsidRDefault="00131D9E" w:rsidP="00131D9E">
      <w:pPr>
        <w:spacing w:after="120" w:line="240" w:lineRule="auto"/>
        <w:jc w:val="both"/>
        <w:rPr>
          <w:rFonts w:ascii="Times New Roman" w:hAnsi="Times New Roman" w:cs="Times New Roman"/>
          <w:sz w:val="24"/>
          <w:szCs w:val="24"/>
        </w:rPr>
      </w:pPr>
      <w:r w:rsidRPr="00131D9E">
        <w:rPr>
          <w:rFonts w:ascii="Times New Roman" w:hAnsi="Times New Roman" w:cs="Times New Roman"/>
          <w:sz w:val="24"/>
          <w:szCs w:val="24"/>
        </w:rPr>
        <w:t xml:space="preserve">In assessing the performance of mutual funds, DEA approach consists </w:t>
      </w:r>
      <w:r>
        <w:rPr>
          <w:rFonts w:ascii="Times New Roman" w:hAnsi="Times New Roman" w:cs="Times New Roman"/>
          <w:sz w:val="24"/>
          <w:szCs w:val="24"/>
        </w:rPr>
        <w:t>in</w:t>
      </w:r>
      <w:r w:rsidRPr="00131D9E">
        <w:rPr>
          <w:rFonts w:ascii="Times New Roman" w:hAnsi="Times New Roman" w:cs="Times New Roman"/>
          <w:sz w:val="24"/>
          <w:szCs w:val="24"/>
        </w:rPr>
        <w:t xml:space="preserve"> building performance indices </w:t>
      </w:r>
      <w:r>
        <w:rPr>
          <w:rFonts w:ascii="Times New Roman" w:hAnsi="Times New Roman" w:cs="Times New Roman"/>
          <w:sz w:val="24"/>
          <w:szCs w:val="24"/>
        </w:rPr>
        <w:t xml:space="preserve">and scores </w:t>
      </w:r>
      <w:r w:rsidRPr="00131D9E">
        <w:rPr>
          <w:rFonts w:ascii="Times New Roman" w:hAnsi="Times New Roman" w:cs="Times New Roman"/>
          <w:sz w:val="24"/>
          <w:szCs w:val="24"/>
        </w:rPr>
        <w:t xml:space="preserve">by incorporating multiple factors of input and output variables </w:t>
      </w:r>
      <w:r>
        <w:rPr>
          <w:rFonts w:ascii="Times New Roman" w:hAnsi="Times New Roman" w:cs="Times New Roman"/>
          <w:sz w:val="24"/>
          <w:szCs w:val="24"/>
        </w:rPr>
        <w:t>within the model. Namely</w:t>
      </w:r>
      <w:r w:rsidRPr="00131D9E">
        <w:rPr>
          <w:rFonts w:ascii="Times New Roman" w:hAnsi="Times New Roman" w:cs="Times New Roman"/>
          <w:sz w:val="24"/>
          <w:szCs w:val="24"/>
        </w:rPr>
        <w:t xml:space="preserve"> </w:t>
      </w:r>
      <w:r>
        <w:rPr>
          <w:rFonts w:ascii="Times New Roman" w:hAnsi="Times New Roman" w:cs="Times New Roman"/>
          <w:sz w:val="24"/>
          <w:szCs w:val="24"/>
        </w:rPr>
        <w:t>we refer to:</w:t>
      </w:r>
    </w:p>
    <w:p w:rsidR="00131D9E" w:rsidRPr="00131D9E" w:rsidRDefault="00131D9E" w:rsidP="00131D9E">
      <w:pPr>
        <w:pStyle w:val="ListParagraph"/>
        <w:numPr>
          <w:ilvl w:val="0"/>
          <w:numId w:val="5"/>
        </w:numPr>
        <w:spacing w:after="120" w:line="240" w:lineRule="auto"/>
        <w:jc w:val="both"/>
        <w:rPr>
          <w:rFonts w:ascii="Times New Roman" w:hAnsi="Times New Roman" w:cs="Times New Roman"/>
          <w:sz w:val="24"/>
          <w:szCs w:val="24"/>
        </w:rPr>
      </w:pPr>
      <w:r w:rsidRPr="00131D9E">
        <w:rPr>
          <w:rFonts w:ascii="Times New Roman" w:hAnsi="Times New Roman" w:cs="Times New Roman"/>
          <w:sz w:val="24"/>
          <w:szCs w:val="24"/>
        </w:rPr>
        <w:t>input</w:t>
      </w:r>
      <w:r>
        <w:rPr>
          <w:rFonts w:ascii="Times New Roman" w:hAnsi="Times New Roman" w:cs="Times New Roman"/>
          <w:sz w:val="24"/>
          <w:szCs w:val="24"/>
        </w:rPr>
        <w:t>s (</w:t>
      </w:r>
      <w:r w:rsidRPr="00131D9E">
        <w:rPr>
          <w:rFonts w:ascii="Times New Roman" w:hAnsi="Times New Roman" w:cs="Times New Roman"/>
          <w:sz w:val="24"/>
          <w:szCs w:val="24"/>
        </w:rPr>
        <w:t xml:space="preserve">fed into the model as </w:t>
      </w:r>
      <w:r>
        <w:rPr>
          <w:rFonts w:ascii="Times New Roman" w:hAnsi="Times New Roman" w:cs="Times New Roman"/>
          <w:sz w:val="24"/>
          <w:szCs w:val="24"/>
        </w:rPr>
        <w:t xml:space="preserve">variables of </w:t>
      </w:r>
      <w:r w:rsidRPr="00131D9E">
        <w:rPr>
          <w:rFonts w:ascii="Times New Roman" w:hAnsi="Times New Roman" w:cs="Times New Roman"/>
          <w:sz w:val="24"/>
          <w:szCs w:val="24"/>
        </w:rPr>
        <w:t>effort</w:t>
      </w:r>
      <w:r>
        <w:rPr>
          <w:rFonts w:ascii="Times New Roman" w:hAnsi="Times New Roman" w:cs="Times New Roman"/>
          <w:sz w:val="24"/>
          <w:szCs w:val="24"/>
        </w:rPr>
        <w:t>) i.e. cost of funds (redemption fees, consultancy fees</w:t>
      </w:r>
      <w:r w:rsidRPr="00131D9E">
        <w:rPr>
          <w:rFonts w:ascii="Times New Roman" w:hAnsi="Times New Roman" w:cs="Times New Roman"/>
          <w:sz w:val="24"/>
          <w:szCs w:val="24"/>
        </w:rPr>
        <w:t>, administr</w:t>
      </w:r>
      <w:r>
        <w:rPr>
          <w:rFonts w:ascii="Times New Roman" w:hAnsi="Times New Roman" w:cs="Times New Roman"/>
          <w:sz w:val="24"/>
          <w:szCs w:val="24"/>
        </w:rPr>
        <w:t>ative expenses, operating expenses, etc. ), measures of risk (</w:t>
      </w:r>
      <w:r w:rsidRPr="00131D9E">
        <w:rPr>
          <w:rFonts w:ascii="Times New Roman" w:hAnsi="Times New Roman" w:cs="Times New Roman"/>
          <w:sz w:val="24"/>
          <w:szCs w:val="24"/>
        </w:rPr>
        <w:t xml:space="preserve">market volatility and dispersion of returns) and </w:t>
      </w:r>
      <w:r>
        <w:rPr>
          <w:rFonts w:ascii="Times New Roman" w:hAnsi="Times New Roman" w:cs="Times New Roman"/>
          <w:sz w:val="24"/>
          <w:szCs w:val="24"/>
        </w:rPr>
        <w:t>valuation of</w:t>
      </w:r>
      <w:r w:rsidRPr="00131D9E">
        <w:rPr>
          <w:rFonts w:ascii="Times New Roman" w:hAnsi="Times New Roman" w:cs="Times New Roman"/>
          <w:sz w:val="24"/>
          <w:szCs w:val="24"/>
        </w:rPr>
        <w:t xml:space="preserve"> funds</w:t>
      </w:r>
      <w:r>
        <w:rPr>
          <w:rFonts w:ascii="Times New Roman" w:hAnsi="Times New Roman" w:cs="Times New Roman"/>
          <w:sz w:val="24"/>
          <w:szCs w:val="24"/>
        </w:rPr>
        <w:t xml:space="preserve"> sizing (</w:t>
      </w:r>
      <w:r w:rsidRPr="00131D9E">
        <w:rPr>
          <w:rFonts w:ascii="Times New Roman" w:hAnsi="Times New Roman" w:cs="Times New Roman"/>
          <w:sz w:val="24"/>
          <w:szCs w:val="24"/>
        </w:rPr>
        <w:t>market share, the volume of total assets m</w:t>
      </w:r>
      <w:r>
        <w:rPr>
          <w:rFonts w:ascii="Times New Roman" w:hAnsi="Times New Roman" w:cs="Times New Roman"/>
          <w:sz w:val="24"/>
          <w:szCs w:val="24"/>
        </w:rPr>
        <w:t>anaged and their inflows</w:t>
      </w:r>
      <w:r w:rsidRPr="00131D9E">
        <w:rPr>
          <w:rFonts w:ascii="Times New Roman" w:hAnsi="Times New Roman" w:cs="Times New Roman"/>
          <w:sz w:val="24"/>
          <w:szCs w:val="24"/>
        </w:rPr>
        <w:t>);</w:t>
      </w:r>
    </w:p>
    <w:p w:rsidR="00131D9E" w:rsidRDefault="00131D9E" w:rsidP="008E36E4">
      <w:pPr>
        <w:pStyle w:val="ListParagraph"/>
        <w:numPr>
          <w:ilvl w:val="0"/>
          <w:numId w:val="5"/>
        </w:numPr>
        <w:spacing w:after="120" w:line="240" w:lineRule="auto"/>
        <w:jc w:val="both"/>
        <w:rPr>
          <w:rFonts w:ascii="Times New Roman" w:hAnsi="Times New Roman" w:cs="Times New Roman"/>
          <w:sz w:val="24"/>
          <w:szCs w:val="24"/>
        </w:rPr>
      </w:pPr>
      <w:r w:rsidRPr="00131D9E">
        <w:rPr>
          <w:rFonts w:ascii="Times New Roman" w:hAnsi="Times New Roman" w:cs="Times New Roman"/>
          <w:sz w:val="24"/>
          <w:szCs w:val="24"/>
        </w:rPr>
        <w:t>output</w:t>
      </w:r>
      <w:r>
        <w:rPr>
          <w:rFonts w:ascii="Times New Roman" w:hAnsi="Times New Roman" w:cs="Times New Roman"/>
          <w:sz w:val="24"/>
          <w:szCs w:val="24"/>
        </w:rPr>
        <w:t>s</w:t>
      </w:r>
      <w:r w:rsidRPr="00131D9E">
        <w:rPr>
          <w:rFonts w:ascii="Times New Roman" w:hAnsi="Times New Roman" w:cs="Times New Roman"/>
          <w:sz w:val="24"/>
          <w:szCs w:val="24"/>
        </w:rPr>
        <w:t xml:space="preserve"> ( </w:t>
      </w:r>
      <w:r>
        <w:rPr>
          <w:rFonts w:ascii="Times New Roman" w:hAnsi="Times New Roman" w:cs="Times New Roman"/>
          <w:sz w:val="24"/>
          <w:szCs w:val="24"/>
        </w:rPr>
        <w:t xml:space="preserve">described as results) i.e. </w:t>
      </w:r>
      <w:r w:rsidRPr="00131D9E">
        <w:rPr>
          <w:rFonts w:ascii="Times New Roman" w:hAnsi="Times New Roman" w:cs="Times New Roman"/>
          <w:sz w:val="24"/>
          <w:szCs w:val="24"/>
        </w:rPr>
        <w:t xml:space="preserve">expected return or expected yield </w:t>
      </w:r>
      <w:r>
        <w:rPr>
          <w:rFonts w:ascii="Times New Roman" w:hAnsi="Times New Roman" w:cs="Times New Roman"/>
          <w:sz w:val="24"/>
          <w:szCs w:val="24"/>
        </w:rPr>
        <w:t>in excess of the risk free rate</w:t>
      </w:r>
      <w:r w:rsidRPr="00131D9E">
        <w:rPr>
          <w:rFonts w:ascii="Times New Roman" w:hAnsi="Times New Roman" w:cs="Times New Roman"/>
          <w:sz w:val="24"/>
          <w:szCs w:val="24"/>
        </w:rPr>
        <w:t>, stochastic dominance indicators and performance indices (</w:t>
      </w:r>
      <w:r>
        <w:rPr>
          <w:rFonts w:ascii="Times New Roman" w:hAnsi="Times New Roman" w:cs="Times New Roman"/>
          <w:sz w:val="24"/>
          <w:szCs w:val="24"/>
        </w:rPr>
        <w:t>Sharpe</w:t>
      </w:r>
      <w:r w:rsidRPr="00131D9E">
        <w:rPr>
          <w:rFonts w:ascii="Times New Roman" w:hAnsi="Times New Roman" w:cs="Times New Roman"/>
          <w:sz w:val="24"/>
          <w:szCs w:val="24"/>
        </w:rPr>
        <w:t>, Traynor, Jensen α</w:t>
      </w:r>
      <w:r>
        <w:rPr>
          <w:rFonts w:ascii="Times New Roman" w:hAnsi="Times New Roman" w:cs="Times New Roman"/>
          <w:sz w:val="24"/>
          <w:szCs w:val="24"/>
        </w:rPr>
        <w:t xml:space="preserve">), all properly correlated </w:t>
      </w:r>
      <w:r w:rsidRPr="00131D9E">
        <w:rPr>
          <w:rFonts w:ascii="Times New Roman" w:hAnsi="Times New Roman" w:cs="Times New Roman"/>
          <w:sz w:val="24"/>
          <w:szCs w:val="24"/>
        </w:rPr>
        <w:t xml:space="preserve">with </w:t>
      </w:r>
      <w:r>
        <w:rPr>
          <w:rFonts w:ascii="Times New Roman" w:hAnsi="Times New Roman" w:cs="Times New Roman"/>
          <w:sz w:val="24"/>
          <w:szCs w:val="24"/>
        </w:rPr>
        <w:t xml:space="preserve">the </w:t>
      </w:r>
      <w:r w:rsidRPr="00131D9E">
        <w:rPr>
          <w:rFonts w:ascii="Times New Roman" w:hAnsi="Times New Roman" w:cs="Times New Roman"/>
          <w:sz w:val="24"/>
          <w:szCs w:val="24"/>
        </w:rPr>
        <w:t xml:space="preserve">investment funds </w:t>
      </w:r>
      <w:r>
        <w:rPr>
          <w:rFonts w:ascii="Times New Roman" w:hAnsi="Times New Roman" w:cs="Times New Roman"/>
          <w:sz w:val="24"/>
          <w:szCs w:val="24"/>
        </w:rPr>
        <w:t xml:space="preserve">type </w:t>
      </w:r>
      <w:r w:rsidRPr="00131D9E">
        <w:rPr>
          <w:rFonts w:ascii="Times New Roman" w:hAnsi="Times New Roman" w:cs="Times New Roman"/>
          <w:sz w:val="24"/>
          <w:szCs w:val="24"/>
        </w:rPr>
        <w:t xml:space="preserve">that </w:t>
      </w:r>
      <w:r>
        <w:rPr>
          <w:rFonts w:ascii="Times New Roman" w:hAnsi="Times New Roman" w:cs="Times New Roman"/>
          <w:sz w:val="24"/>
          <w:szCs w:val="24"/>
        </w:rPr>
        <w:t>they are</w:t>
      </w:r>
      <w:r w:rsidRPr="00131D9E">
        <w:rPr>
          <w:rFonts w:ascii="Times New Roman" w:hAnsi="Times New Roman" w:cs="Times New Roman"/>
          <w:sz w:val="24"/>
          <w:szCs w:val="24"/>
        </w:rPr>
        <w:t xml:space="preserve"> influenc</w:t>
      </w:r>
      <w:r>
        <w:rPr>
          <w:rFonts w:ascii="Times New Roman" w:hAnsi="Times New Roman" w:cs="Times New Roman"/>
          <w:sz w:val="24"/>
          <w:szCs w:val="24"/>
        </w:rPr>
        <w:t>ing</w:t>
      </w:r>
      <w:r w:rsidRPr="00131D9E">
        <w:rPr>
          <w:rFonts w:ascii="Times New Roman" w:hAnsi="Times New Roman" w:cs="Times New Roman"/>
          <w:sz w:val="24"/>
          <w:szCs w:val="24"/>
        </w:rPr>
        <w:t>.</w:t>
      </w:r>
    </w:p>
    <w:p w:rsidR="00F95686" w:rsidRDefault="00F95686" w:rsidP="0033747B">
      <w:pPr>
        <w:spacing w:after="0" w:line="240" w:lineRule="auto"/>
        <w:jc w:val="both"/>
        <w:rPr>
          <w:rFonts w:ascii="Times New Roman" w:hAnsi="Times New Roman" w:cs="Times New Roman"/>
          <w:sz w:val="24"/>
          <w:szCs w:val="24"/>
        </w:rPr>
      </w:pPr>
      <w:r w:rsidRPr="008F00C9">
        <w:rPr>
          <w:rFonts w:ascii="Times New Roman" w:hAnsi="Times New Roman" w:cs="Times New Roman"/>
          <w:sz w:val="24"/>
          <w:szCs w:val="24"/>
        </w:rPr>
        <w:t>Printre avantajele tehnicii DEA în evaluarea performanţei fondurilor mutuale, se pot număra următoarele aspecte:</w:t>
      </w:r>
    </w:p>
    <w:p w:rsidR="004F3EE3" w:rsidRDefault="004F3EE3" w:rsidP="009F572E">
      <w:pPr>
        <w:pStyle w:val="ListParagraph"/>
        <w:numPr>
          <w:ilvl w:val="0"/>
          <w:numId w:val="6"/>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n</w:t>
      </w:r>
      <w:r w:rsidR="009F572E" w:rsidRPr="009F572E">
        <w:rPr>
          <w:rFonts w:ascii="Times New Roman" w:hAnsi="Times New Roman" w:cs="Times New Roman"/>
          <w:sz w:val="24"/>
          <w:szCs w:val="24"/>
        </w:rPr>
        <w:t>on -parametric method based on mathematic</w:t>
      </w:r>
      <w:r>
        <w:rPr>
          <w:rFonts w:ascii="Times New Roman" w:hAnsi="Times New Roman" w:cs="Times New Roman"/>
          <w:sz w:val="24"/>
          <w:szCs w:val="24"/>
        </w:rPr>
        <w:t>al linear programming technique</w:t>
      </w:r>
      <w:r w:rsidR="009F572E" w:rsidRPr="009F572E">
        <w:rPr>
          <w:rFonts w:ascii="Times New Roman" w:hAnsi="Times New Roman" w:cs="Times New Roman"/>
          <w:sz w:val="24"/>
          <w:szCs w:val="24"/>
        </w:rPr>
        <w:t xml:space="preserve">, which does not take into account </w:t>
      </w:r>
      <w:r>
        <w:rPr>
          <w:rFonts w:ascii="Times New Roman" w:hAnsi="Times New Roman" w:cs="Times New Roman"/>
          <w:sz w:val="24"/>
          <w:szCs w:val="24"/>
        </w:rPr>
        <w:t xml:space="preserve">the </w:t>
      </w:r>
      <w:r w:rsidR="009F572E" w:rsidRPr="009F572E">
        <w:rPr>
          <w:rFonts w:ascii="Times New Roman" w:hAnsi="Times New Roman" w:cs="Times New Roman"/>
          <w:sz w:val="24"/>
          <w:szCs w:val="24"/>
        </w:rPr>
        <w:t>random estimatio</w:t>
      </w:r>
      <w:r>
        <w:rPr>
          <w:rFonts w:ascii="Times New Roman" w:hAnsi="Times New Roman" w:cs="Times New Roman"/>
          <w:sz w:val="24"/>
          <w:szCs w:val="24"/>
        </w:rPr>
        <w:t>n errors nor their distribution;</w:t>
      </w:r>
    </w:p>
    <w:p w:rsidR="004F3EE3" w:rsidRDefault="009F572E" w:rsidP="009F572E">
      <w:pPr>
        <w:pStyle w:val="ListParagraph"/>
        <w:numPr>
          <w:ilvl w:val="0"/>
          <w:numId w:val="6"/>
        </w:numPr>
        <w:spacing w:after="120" w:line="240" w:lineRule="auto"/>
        <w:jc w:val="both"/>
        <w:rPr>
          <w:rFonts w:ascii="Times New Roman" w:hAnsi="Times New Roman" w:cs="Times New Roman"/>
          <w:sz w:val="24"/>
          <w:szCs w:val="24"/>
        </w:rPr>
      </w:pPr>
      <w:r w:rsidRPr="009F572E">
        <w:rPr>
          <w:rFonts w:ascii="Times New Roman" w:hAnsi="Times New Roman" w:cs="Times New Roman"/>
          <w:sz w:val="24"/>
          <w:szCs w:val="24"/>
        </w:rPr>
        <w:t>DEA measures the performance of a f</w:t>
      </w:r>
      <w:r w:rsidR="004F3EE3">
        <w:rPr>
          <w:rFonts w:ascii="Times New Roman" w:hAnsi="Times New Roman" w:cs="Times New Roman"/>
          <w:sz w:val="24"/>
          <w:szCs w:val="24"/>
        </w:rPr>
        <w:t xml:space="preserve">und in relation to its category </w:t>
      </w:r>
      <w:r w:rsidRPr="009F572E">
        <w:rPr>
          <w:rFonts w:ascii="Times New Roman" w:hAnsi="Times New Roman" w:cs="Times New Roman"/>
          <w:sz w:val="24"/>
          <w:szCs w:val="24"/>
        </w:rPr>
        <w:t xml:space="preserve">best performance and reporting them </w:t>
      </w:r>
      <w:r w:rsidR="004F3EE3">
        <w:rPr>
          <w:rFonts w:ascii="Times New Roman" w:hAnsi="Times New Roman" w:cs="Times New Roman"/>
          <w:sz w:val="24"/>
          <w:szCs w:val="24"/>
        </w:rPr>
        <w:t>agains a</w:t>
      </w:r>
      <w:r w:rsidRPr="009F572E">
        <w:rPr>
          <w:rFonts w:ascii="Times New Roman" w:hAnsi="Times New Roman" w:cs="Times New Roman"/>
          <w:sz w:val="24"/>
          <w:szCs w:val="24"/>
        </w:rPr>
        <w:t xml:space="preserve"> "</w:t>
      </w:r>
      <w:r w:rsidR="004F3EE3">
        <w:rPr>
          <w:rFonts w:ascii="Times New Roman" w:hAnsi="Times New Roman" w:cs="Times New Roman"/>
          <w:sz w:val="24"/>
          <w:szCs w:val="24"/>
        </w:rPr>
        <w:t>best results frontier border"</w:t>
      </w:r>
      <w:r w:rsidRPr="009F572E">
        <w:rPr>
          <w:rFonts w:ascii="Times New Roman" w:hAnsi="Times New Roman" w:cs="Times New Roman"/>
          <w:sz w:val="24"/>
          <w:szCs w:val="24"/>
        </w:rPr>
        <w:t xml:space="preserve">; </w:t>
      </w:r>
    </w:p>
    <w:p w:rsidR="004F3EE3" w:rsidRDefault="004F3EE3" w:rsidP="009F572E">
      <w:pPr>
        <w:pStyle w:val="ListParagraph"/>
        <w:numPr>
          <w:ilvl w:val="0"/>
          <w:numId w:val="6"/>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w:t>
      </w:r>
      <w:r w:rsidR="009F572E" w:rsidRPr="009F572E">
        <w:rPr>
          <w:rFonts w:ascii="Times New Roman" w:hAnsi="Times New Roman" w:cs="Times New Roman"/>
          <w:sz w:val="24"/>
          <w:szCs w:val="24"/>
        </w:rPr>
        <w:t>rovides information on the causes of inefficiency funds</w:t>
      </w:r>
      <w:r>
        <w:rPr>
          <w:rFonts w:ascii="Times New Roman" w:hAnsi="Times New Roman" w:cs="Times New Roman"/>
          <w:sz w:val="24"/>
          <w:szCs w:val="24"/>
        </w:rPr>
        <w:t>,</w:t>
      </w:r>
      <w:r w:rsidR="009F572E" w:rsidRPr="009F572E">
        <w:rPr>
          <w:rFonts w:ascii="Times New Roman" w:hAnsi="Times New Roman" w:cs="Times New Roman"/>
          <w:sz w:val="24"/>
          <w:szCs w:val="24"/>
        </w:rPr>
        <w:t xml:space="preserve"> devising ways to div</w:t>
      </w:r>
      <w:r>
        <w:rPr>
          <w:rFonts w:ascii="Times New Roman" w:hAnsi="Times New Roman" w:cs="Times New Roman"/>
          <w:sz w:val="24"/>
          <w:szCs w:val="24"/>
        </w:rPr>
        <w:t>ert funds to optimum efficiency</w:t>
      </w:r>
      <w:r w:rsidR="009F572E" w:rsidRPr="009F572E">
        <w:rPr>
          <w:rFonts w:ascii="Times New Roman" w:hAnsi="Times New Roman" w:cs="Times New Roman"/>
          <w:sz w:val="24"/>
          <w:szCs w:val="24"/>
        </w:rPr>
        <w:t xml:space="preserve">; </w:t>
      </w:r>
    </w:p>
    <w:p w:rsidR="009F572E" w:rsidRPr="004F3EE3" w:rsidRDefault="004F3EE3" w:rsidP="004F3EE3">
      <w:pPr>
        <w:pStyle w:val="ListParagraph"/>
        <w:numPr>
          <w:ilvl w:val="0"/>
          <w:numId w:val="6"/>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o</w:t>
      </w:r>
      <w:r w:rsidR="009F572E" w:rsidRPr="009F572E">
        <w:rPr>
          <w:rFonts w:ascii="Times New Roman" w:hAnsi="Times New Roman" w:cs="Times New Roman"/>
          <w:sz w:val="24"/>
          <w:szCs w:val="24"/>
        </w:rPr>
        <w:t xml:space="preserve">ffers improvement </w:t>
      </w:r>
      <w:r>
        <w:rPr>
          <w:rFonts w:ascii="Times New Roman" w:hAnsi="Times New Roman" w:cs="Times New Roman"/>
          <w:sz w:val="24"/>
          <w:szCs w:val="24"/>
        </w:rPr>
        <w:t xml:space="preserve">alternatives for each input-output variables </w:t>
      </w:r>
      <w:r w:rsidRPr="009F572E">
        <w:rPr>
          <w:rFonts w:ascii="Times New Roman" w:hAnsi="Times New Roman" w:cs="Times New Roman"/>
          <w:sz w:val="24"/>
          <w:szCs w:val="24"/>
        </w:rPr>
        <w:t xml:space="preserve">by marking the </w:t>
      </w:r>
      <w:r>
        <w:rPr>
          <w:rFonts w:ascii="Times New Roman" w:hAnsi="Times New Roman" w:cs="Times New Roman"/>
          <w:sz w:val="24"/>
          <w:szCs w:val="24"/>
        </w:rPr>
        <w:t xml:space="preserve">efficiency </w:t>
      </w:r>
      <w:r w:rsidRPr="009F572E">
        <w:rPr>
          <w:rFonts w:ascii="Times New Roman" w:hAnsi="Times New Roman" w:cs="Times New Roman"/>
          <w:sz w:val="24"/>
          <w:szCs w:val="24"/>
        </w:rPr>
        <w:t>border</w:t>
      </w:r>
      <w:r w:rsidR="009F572E" w:rsidRPr="004F3EE3">
        <w:rPr>
          <w:rFonts w:ascii="Times New Roman" w:hAnsi="Times New Roman" w:cs="Times New Roman"/>
          <w:sz w:val="24"/>
          <w:szCs w:val="24"/>
        </w:rPr>
        <w:t>in relation to the fund with the best results</w:t>
      </w:r>
      <w:r>
        <w:rPr>
          <w:rFonts w:ascii="Times New Roman" w:hAnsi="Times New Roman" w:cs="Times New Roman"/>
          <w:sz w:val="24"/>
          <w:szCs w:val="24"/>
        </w:rPr>
        <w:t>.</w:t>
      </w:r>
    </w:p>
    <w:p w:rsidR="0008154F" w:rsidRPr="0008154F" w:rsidRDefault="0008154F" w:rsidP="0008154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The exposed b</w:t>
      </w:r>
      <w:r w:rsidRPr="0008154F">
        <w:rPr>
          <w:rFonts w:ascii="Times New Roman" w:hAnsi="Times New Roman" w:cs="Times New Roman"/>
          <w:sz w:val="24"/>
          <w:szCs w:val="24"/>
        </w:rPr>
        <w:t xml:space="preserve">enefits </w:t>
      </w:r>
      <w:r>
        <w:rPr>
          <w:rFonts w:ascii="Times New Roman" w:hAnsi="Times New Roman" w:cs="Times New Roman"/>
          <w:sz w:val="24"/>
          <w:szCs w:val="24"/>
        </w:rPr>
        <w:t xml:space="preserve">of the DEA </w:t>
      </w:r>
      <w:r w:rsidRPr="0008154F">
        <w:rPr>
          <w:rFonts w:ascii="Times New Roman" w:hAnsi="Times New Roman" w:cs="Times New Roman"/>
          <w:sz w:val="24"/>
          <w:szCs w:val="24"/>
        </w:rPr>
        <w:t xml:space="preserve">method will ensure effective identification of </w:t>
      </w:r>
      <w:r>
        <w:rPr>
          <w:rFonts w:ascii="Times New Roman" w:hAnsi="Times New Roman" w:cs="Times New Roman"/>
          <w:sz w:val="24"/>
          <w:szCs w:val="24"/>
        </w:rPr>
        <w:t xml:space="preserve">the </w:t>
      </w:r>
      <w:r w:rsidRPr="0008154F">
        <w:rPr>
          <w:rFonts w:ascii="Times New Roman" w:hAnsi="Times New Roman" w:cs="Times New Roman"/>
          <w:sz w:val="24"/>
          <w:szCs w:val="24"/>
        </w:rPr>
        <w:t xml:space="preserve">investment funds in each analyzed category or </w:t>
      </w:r>
      <w:r>
        <w:rPr>
          <w:rFonts w:ascii="Times New Roman" w:hAnsi="Times New Roman" w:cs="Times New Roman"/>
          <w:sz w:val="24"/>
          <w:szCs w:val="24"/>
        </w:rPr>
        <w:t xml:space="preserve">within the </w:t>
      </w:r>
      <w:r w:rsidRPr="0008154F">
        <w:rPr>
          <w:rFonts w:ascii="Times New Roman" w:hAnsi="Times New Roman" w:cs="Times New Roman"/>
          <w:sz w:val="24"/>
          <w:szCs w:val="24"/>
        </w:rPr>
        <w:t>entire market</w:t>
      </w:r>
      <w:r>
        <w:rPr>
          <w:rFonts w:ascii="Times New Roman" w:hAnsi="Times New Roman" w:cs="Times New Roman"/>
          <w:sz w:val="24"/>
          <w:szCs w:val="24"/>
        </w:rPr>
        <w:t xml:space="preserve">, so it will </w:t>
      </w:r>
      <w:r w:rsidRPr="0008154F">
        <w:rPr>
          <w:rFonts w:ascii="Times New Roman" w:hAnsi="Times New Roman" w:cs="Times New Roman"/>
          <w:sz w:val="24"/>
          <w:szCs w:val="24"/>
        </w:rPr>
        <w:t xml:space="preserve">facilitate </w:t>
      </w:r>
      <w:r>
        <w:rPr>
          <w:rFonts w:ascii="Times New Roman" w:hAnsi="Times New Roman" w:cs="Times New Roman"/>
          <w:sz w:val="24"/>
          <w:szCs w:val="24"/>
        </w:rPr>
        <w:t xml:space="preserve">the </w:t>
      </w:r>
      <w:r w:rsidRPr="0008154F">
        <w:rPr>
          <w:rFonts w:ascii="Times New Roman" w:hAnsi="Times New Roman" w:cs="Times New Roman"/>
          <w:sz w:val="24"/>
          <w:szCs w:val="24"/>
        </w:rPr>
        <w:t xml:space="preserve">capital allocations orientation toward </w:t>
      </w:r>
      <w:r>
        <w:rPr>
          <w:rFonts w:ascii="Times New Roman" w:hAnsi="Times New Roman" w:cs="Times New Roman"/>
          <w:sz w:val="24"/>
          <w:szCs w:val="24"/>
        </w:rPr>
        <w:t xml:space="preserve">investment </w:t>
      </w:r>
      <w:r w:rsidRPr="0008154F">
        <w:rPr>
          <w:rFonts w:ascii="Times New Roman" w:hAnsi="Times New Roman" w:cs="Times New Roman"/>
          <w:sz w:val="24"/>
          <w:szCs w:val="24"/>
        </w:rPr>
        <w:t>alternatives with the best yields and thus protecting inefficient capital of those variants.</w:t>
      </w:r>
    </w:p>
    <w:p w:rsidR="0008154F" w:rsidRPr="0008154F" w:rsidRDefault="0008154F" w:rsidP="0008154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order to define </w:t>
      </w:r>
      <w:r w:rsidRPr="0008154F">
        <w:rPr>
          <w:rFonts w:ascii="Times New Roman" w:hAnsi="Times New Roman" w:cs="Times New Roman"/>
          <w:sz w:val="24"/>
          <w:szCs w:val="24"/>
        </w:rPr>
        <w:t xml:space="preserve">the efficiency of investment funds in Romania </w:t>
      </w:r>
      <w:r w:rsidR="00BE0F30">
        <w:rPr>
          <w:rFonts w:ascii="Times New Roman" w:hAnsi="Times New Roman" w:cs="Times New Roman"/>
          <w:sz w:val="24"/>
          <w:szCs w:val="24"/>
        </w:rPr>
        <w:t xml:space="preserve">per </w:t>
      </w:r>
      <w:r w:rsidRPr="0008154F">
        <w:rPr>
          <w:rFonts w:ascii="Times New Roman" w:hAnsi="Times New Roman" w:cs="Times New Roman"/>
          <w:sz w:val="24"/>
          <w:szCs w:val="24"/>
        </w:rPr>
        <w:t xml:space="preserve">category of funds, we investigated a </w:t>
      </w:r>
      <w:r w:rsidR="00BE0F30">
        <w:rPr>
          <w:rFonts w:ascii="Times New Roman" w:hAnsi="Times New Roman" w:cs="Times New Roman"/>
          <w:sz w:val="24"/>
          <w:szCs w:val="24"/>
        </w:rPr>
        <w:t xml:space="preserve">sample of 82 investment funds (52 mutual funds, 15 closed-end funds and 15 </w:t>
      </w:r>
      <w:r w:rsidR="00BE0F30">
        <w:rPr>
          <w:rFonts w:ascii="Times New Roman" w:hAnsi="Times New Roman" w:cs="Times New Roman"/>
          <w:sz w:val="24"/>
          <w:szCs w:val="24"/>
        </w:rPr>
        <w:lastRenderedPageBreak/>
        <w:t xml:space="preserve">foreign funds) through an input oriented </w:t>
      </w:r>
      <w:r w:rsidRPr="0008154F">
        <w:rPr>
          <w:rFonts w:ascii="Times New Roman" w:hAnsi="Times New Roman" w:cs="Times New Roman"/>
          <w:sz w:val="24"/>
          <w:szCs w:val="24"/>
        </w:rPr>
        <w:t>DEA</w:t>
      </w:r>
      <w:r w:rsidR="00BE0F30" w:rsidRPr="00BE0F30">
        <w:rPr>
          <w:rFonts w:ascii="Times New Roman" w:hAnsi="Times New Roman" w:cs="Times New Roman"/>
          <w:sz w:val="24"/>
          <w:szCs w:val="24"/>
        </w:rPr>
        <w:t xml:space="preserve"> </w:t>
      </w:r>
      <w:r w:rsidR="00BE0F30" w:rsidRPr="0008154F">
        <w:rPr>
          <w:rFonts w:ascii="Times New Roman" w:hAnsi="Times New Roman" w:cs="Times New Roman"/>
          <w:sz w:val="24"/>
          <w:szCs w:val="24"/>
        </w:rPr>
        <w:t>model</w:t>
      </w:r>
      <w:r w:rsidR="00BE0F30">
        <w:rPr>
          <w:rFonts w:ascii="Times New Roman" w:hAnsi="Times New Roman" w:cs="Times New Roman"/>
          <w:sz w:val="24"/>
          <w:szCs w:val="24"/>
        </w:rPr>
        <w:t xml:space="preserve"> for which</w:t>
      </w:r>
      <w:r w:rsidRPr="0008154F">
        <w:rPr>
          <w:rFonts w:ascii="Times New Roman" w:hAnsi="Times New Roman" w:cs="Times New Roman"/>
          <w:sz w:val="24"/>
          <w:szCs w:val="24"/>
        </w:rPr>
        <w:t xml:space="preserve"> we </w:t>
      </w:r>
      <w:r w:rsidR="00BE0F30">
        <w:rPr>
          <w:rFonts w:ascii="Times New Roman" w:hAnsi="Times New Roman" w:cs="Times New Roman"/>
          <w:sz w:val="24"/>
          <w:szCs w:val="24"/>
        </w:rPr>
        <w:t xml:space="preserve">have </w:t>
      </w:r>
      <w:r w:rsidRPr="0008154F">
        <w:rPr>
          <w:rFonts w:ascii="Times New Roman" w:hAnsi="Times New Roman" w:cs="Times New Roman"/>
          <w:sz w:val="24"/>
          <w:szCs w:val="24"/>
        </w:rPr>
        <w:t xml:space="preserve">considered both hypotheses </w:t>
      </w:r>
      <w:r w:rsidR="00BE0F30">
        <w:rPr>
          <w:rFonts w:ascii="Times New Roman" w:hAnsi="Times New Roman" w:cs="Times New Roman"/>
          <w:sz w:val="24"/>
          <w:szCs w:val="24"/>
        </w:rPr>
        <w:t xml:space="preserve">i.e. </w:t>
      </w:r>
      <w:r w:rsidRPr="0008154F">
        <w:rPr>
          <w:rFonts w:ascii="Times New Roman" w:hAnsi="Times New Roman" w:cs="Times New Roman"/>
          <w:sz w:val="24"/>
          <w:szCs w:val="24"/>
        </w:rPr>
        <w:t>with</w:t>
      </w:r>
      <w:r w:rsidR="00BE0F30">
        <w:rPr>
          <w:rFonts w:ascii="Times New Roman" w:hAnsi="Times New Roman" w:cs="Times New Roman"/>
          <w:sz w:val="24"/>
          <w:szCs w:val="24"/>
        </w:rPr>
        <w:t xml:space="preserve"> constant returns to scale (CRS</w:t>
      </w:r>
      <w:r w:rsidRPr="0008154F">
        <w:rPr>
          <w:rFonts w:ascii="Times New Roman" w:hAnsi="Times New Roman" w:cs="Times New Roman"/>
          <w:sz w:val="24"/>
          <w:szCs w:val="24"/>
        </w:rPr>
        <w:t xml:space="preserve">) and variable returns to scale </w:t>
      </w:r>
      <w:r w:rsidR="00BE0F30">
        <w:rPr>
          <w:rFonts w:ascii="Times New Roman" w:hAnsi="Times New Roman" w:cs="Times New Roman"/>
          <w:sz w:val="24"/>
          <w:szCs w:val="24"/>
        </w:rPr>
        <w:t>(VRS).</w:t>
      </w:r>
    </w:p>
    <w:p w:rsidR="00BE0F30" w:rsidRPr="00BE0F30" w:rsidRDefault="00BE0F30" w:rsidP="0033747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selected sample represents 44% </w:t>
      </w:r>
      <w:r w:rsidRPr="00BE0F30">
        <w:rPr>
          <w:rFonts w:ascii="Times New Roman" w:hAnsi="Times New Roman" w:cs="Times New Roman"/>
          <w:sz w:val="24"/>
          <w:szCs w:val="24"/>
        </w:rPr>
        <w:t xml:space="preserve">of the total number of undertakings for collective investment in the </w:t>
      </w:r>
      <w:r>
        <w:rPr>
          <w:rFonts w:ascii="Times New Roman" w:hAnsi="Times New Roman" w:cs="Times New Roman"/>
          <w:sz w:val="24"/>
          <w:szCs w:val="24"/>
        </w:rPr>
        <w:t xml:space="preserve">Romanian market during 2007-2015 </w:t>
      </w:r>
      <w:r w:rsidRPr="00BE0F30">
        <w:rPr>
          <w:rFonts w:ascii="Times New Roman" w:hAnsi="Times New Roman" w:cs="Times New Roman"/>
          <w:sz w:val="24"/>
          <w:szCs w:val="24"/>
        </w:rPr>
        <w:t>that includes 65% of the open-end investment funds</w:t>
      </w:r>
      <w:r>
        <w:rPr>
          <w:rFonts w:ascii="Times New Roman" w:hAnsi="Times New Roman" w:cs="Times New Roman"/>
          <w:sz w:val="24"/>
          <w:szCs w:val="24"/>
        </w:rPr>
        <w:t>, 38.46</w:t>
      </w:r>
      <w:r w:rsidRPr="00BE0F30">
        <w:rPr>
          <w:rFonts w:ascii="Times New Roman" w:hAnsi="Times New Roman" w:cs="Times New Roman"/>
          <w:sz w:val="24"/>
          <w:szCs w:val="24"/>
        </w:rPr>
        <w:t xml:space="preserve">% of </w:t>
      </w:r>
      <w:r>
        <w:rPr>
          <w:rFonts w:ascii="Times New Roman" w:hAnsi="Times New Roman" w:cs="Times New Roman"/>
          <w:sz w:val="24"/>
          <w:szCs w:val="24"/>
        </w:rPr>
        <w:t>close-end funds and a share of 22.39</w:t>
      </w:r>
      <w:r w:rsidRPr="00BE0F30">
        <w:rPr>
          <w:rFonts w:ascii="Times New Roman" w:hAnsi="Times New Roman" w:cs="Times New Roman"/>
          <w:sz w:val="24"/>
          <w:szCs w:val="24"/>
        </w:rPr>
        <w:t>% of foreign investment funds. Instead, by re</w:t>
      </w:r>
      <w:r>
        <w:rPr>
          <w:rFonts w:ascii="Times New Roman" w:hAnsi="Times New Roman" w:cs="Times New Roman"/>
          <w:sz w:val="24"/>
          <w:szCs w:val="24"/>
        </w:rPr>
        <w:t>ferring</w:t>
      </w:r>
      <w:r w:rsidRPr="00BE0F30">
        <w:rPr>
          <w:rFonts w:ascii="Times New Roman" w:hAnsi="Times New Roman" w:cs="Times New Roman"/>
          <w:sz w:val="24"/>
          <w:szCs w:val="24"/>
        </w:rPr>
        <w:t xml:space="preserve"> to the number of investment funds existing at the level of 2014 (a total of 144 funds), the sample </w:t>
      </w:r>
      <w:r>
        <w:rPr>
          <w:rFonts w:ascii="Times New Roman" w:hAnsi="Times New Roman" w:cs="Times New Roman"/>
          <w:sz w:val="24"/>
          <w:szCs w:val="24"/>
        </w:rPr>
        <w:t>comprises a majority of 56.94%</w:t>
      </w:r>
      <w:r w:rsidRPr="00BE0F30">
        <w:rPr>
          <w:rFonts w:ascii="Times New Roman" w:hAnsi="Times New Roman" w:cs="Times New Roman"/>
          <w:sz w:val="24"/>
          <w:szCs w:val="24"/>
        </w:rPr>
        <w:t>.</w:t>
      </w:r>
    </w:p>
    <w:p w:rsidR="00BE0F30" w:rsidRPr="00BE0F30" w:rsidRDefault="00BE0F30" w:rsidP="0033747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The efficiency indicators</w:t>
      </w:r>
      <w:r w:rsidRPr="00BE0F30">
        <w:rPr>
          <w:rFonts w:ascii="Times New Roman" w:hAnsi="Times New Roman" w:cs="Times New Roman"/>
          <w:sz w:val="24"/>
          <w:szCs w:val="24"/>
        </w:rPr>
        <w:t xml:space="preserve"> of investment fund records we</w:t>
      </w:r>
      <w:r>
        <w:rPr>
          <w:rFonts w:ascii="Times New Roman" w:hAnsi="Times New Roman" w:cs="Times New Roman"/>
          <w:sz w:val="24"/>
          <w:szCs w:val="24"/>
        </w:rPr>
        <w:t>re reported considering the literature evidences (M. Eling, 2006; Babala et al., 2009; Roman MM, CM Suciu, 2013; Manta AG, Bădircea RM 2014</w:t>
      </w:r>
      <w:r w:rsidRPr="00BE0F30">
        <w:rPr>
          <w:rFonts w:ascii="Times New Roman" w:hAnsi="Times New Roman" w:cs="Times New Roman"/>
          <w:sz w:val="24"/>
          <w:szCs w:val="24"/>
        </w:rPr>
        <w:t xml:space="preserve">) and </w:t>
      </w:r>
      <w:r>
        <w:rPr>
          <w:rFonts w:ascii="Times New Roman" w:hAnsi="Times New Roman" w:cs="Times New Roman"/>
          <w:sz w:val="24"/>
          <w:szCs w:val="24"/>
        </w:rPr>
        <w:t xml:space="preserve">their </w:t>
      </w:r>
      <w:r w:rsidRPr="00BE0F30">
        <w:rPr>
          <w:rFonts w:ascii="Times New Roman" w:hAnsi="Times New Roman" w:cs="Times New Roman"/>
          <w:sz w:val="24"/>
          <w:szCs w:val="24"/>
        </w:rPr>
        <w:t xml:space="preserve">dimensioning </w:t>
      </w:r>
      <w:r>
        <w:rPr>
          <w:rFonts w:ascii="Times New Roman" w:hAnsi="Times New Roman" w:cs="Times New Roman"/>
          <w:sz w:val="24"/>
          <w:szCs w:val="24"/>
        </w:rPr>
        <w:t>was</w:t>
      </w:r>
      <w:r w:rsidRPr="00BE0F30">
        <w:rPr>
          <w:rFonts w:ascii="Times New Roman" w:hAnsi="Times New Roman" w:cs="Times New Roman"/>
          <w:sz w:val="24"/>
          <w:szCs w:val="24"/>
        </w:rPr>
        <w:t xml:space="preserve"> </w:t>
      </w:r>
      <w:r>
        <w:rPr>
          <w:rFonts w:ascii="Times New Roman" w:hAnsi="Times New Roman" w:cs="Times New Roman"/>
          <w:sz w:val="24"/>
          <w:szCs w:val="24"/>
        </w:rPr>
        <w:t>defined by</w:t>
      </w:r>
      <w:r w:rsidRPr="00BE0F30">
        <w:rPr>
          <w:rFonts w:ascii="Times New Roman" w:hAnsi="Times New Roman" w:cs="Times New Roman"/>
          <w:sz w:val="24"/>
          <w:szCs w:val="24"/>
        </w:rPr>
        <w:t xml:space="preserve"> cost </w:t>
      </w:r>
      <w:r>
        <w:rPr>
          <w:rFonts w:ascii="Times New Roman" w:hAnsi="Times New Roman" w:cs="Times New Roman"/>
          <w:sz w:val="24"/>
          <w:szCs w:val="24"/>
        </w:rPr>
        <w:t xml:space="preserve">and risk </w:t>
      </w:r>
      <w:r w:rsidRPr="00BE0F30">
        <w:rPr>
          <w:rFonts w:ascii="Times New Roman" w:hAnsi="Times New Roman" w:cs="Times New Roman"/>
          <w:sz w:val="24"/>
          <w:szCs w:val="24"/>
        </w:rPr>
        <w:t xml:space="preserve">indicators for inputs and </w:t>
      </w:r>
      <w:r>
        <w:rPr>
          <w:rFonts w:ascii="Times New Roman" w:hAnsi="Times New Roman" w:cs="Times New Roman"/>
          <w:sz w:val="24"/>
          <w:szCs w:val="24"/>
        </w:rPr>
        <w:t>result</w:t>
      </w:r>
      <w:r w:rsidRPr="00BE0F30">
        <w:rPr>
          <w:rFonts w:ascii="Times New Roman" w:hAnsi="Times New Roman" w:cs="Times New Roman"/>
          <w:sz w:val="24"/>
          <w:szCs w:val="24"/>
        </w:rPr>
        <w:t xml:space="preserve"> indicators for </w:t>
      </w:r>
      <w:r>
        <w:rPr>
          <w:rFonts w:ascii="Times New Roman" w:hAnsi="Times New Roman" w:cs="Times New Roman"/>
          <w:sz w:val="24"/>
          <w:szCs w:val="24"/>
        </w:rPr>
        <w:t xml:space="preserve">the </w:t>
      </w:r>
      <w:r w:rsidRPr="00BE0F30">
        <w:rPr>
          <w:rFonts w:ascii="Times New Roman" w:hAnsi="Times New Roman" w:cs="Times New Roman"/>
          <w:sz w:val="24"/>
          <w:szCs w:val="24"/>
        </w:rPr>
        <w:t>output</w:t>
      </w:r>
      <w:r>
        <w:rPr>
          <w:rFonts w:ascii="Times New Roman" w:hAnsi="Times New Roman" w:cs="Times New Roman"/>
          <w:sz w:val="24"/>
          <w:szCs w:val="24"/>
        </w:rPr>
        <w:t xml:space="preserve"> </w:t>
      </w:r>
      <w:r w:rsidRPr="00BE0F30">
        <w:rPr>
          <w:rFonts w:ascii="Times New Roman" w:hAnsi="Times New Roman" w:cs="Times New Roman"/>
          <w:sz w:val="24"/>
          <w:szCs w:val="24"/>
        </w:rPr>
        <w:t>variable.</w:t>
      </w:r>
    </w:p>
    <w:p w:rsidR="00BE0F30" w:rsidRPr="00BE0F30" w:rsidRDefault="00BE0F30" w:rsidP="0033747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inputs of the model are defined by </w:t>
      </w:r>
      <w:r w:rsidRPr="00BE0F30">
        <w:rPr>
          <w:rFonts w:ascii="Times New Roman" w:hAnsi="Times New Roman" w:cs="Times New Roman"/>
          <w:sz w:val="24"/>
          <w:szCs w:val="24"/>
        </w:rPr>
        <w:t xml:space="preserve">indicators that </w:t>
      </w:r>
      <w:r>
        <w:rPr>
          <w:rFonts w:ascii="Times New Roman" w:hAnsi="Times New Roman" w:cs="Times New Roman"/>
          <w:sz w:val="24"/>
          <w:szCs w:val="24"/>
        </w:rPr>
        <w:t>cover</w:t>
      </w:r>
      <w:r w:rsidRPr="00BE0F30">
        <w:rPr>
          <w:rFonts w:ascii="Times New Roman" w:hAnsi="Times New Roman" w:cs="Times New Roman"/>
          <w:sz w:val="24"/>
          <w:szCs w:val="24"/>
        </w:rPr>
        <w:t xml:space="preserve"> up </w:t>
      </w:r>
      <w:r>
        <w:rPr>
          <w:rFonts w:ascii="Times New Roman" w:hAnsi="Times New Roman" w:cs="Times New Roman"/>
          <w:sz w:val="24"/>
          <w:szCs w:val="24"/>
        </w:rPr>
        <w:t xml:space="preserve">the vector "risk - cost - size" being </w:t>
      </w:r>
      <w:r w:rsidRPr="00BE0F30">
        <w:rPr>
          <w:rFonts w:ascii="Times New Roman" w:hAnsi="Times New Roman" w:cs="Times New Roman"/>
          <w:sz w:val="24"/>
          <w:szCs w:val="24"/>
        </w:rPr>
        <w:t>symbolized</w:t>
      </w:r>
      <w:r>
        <w:rPr>
          <w:rFonts w:ascii="Times New Roman" w:hAnsi="Times New Roman" w:cs="Times New Roman"/>
          <w:sz w:val="24"/>
          <w:szCs w:val="24"/>
        </w:rPr>
        <w:t xml:space="preserve"> with I1, I2 and</w:t>
      </w:r>
      <w:r w:rsidRPr="00BE0F30">
        <w:rPr>
          <w:rFonts w:ascii="Times New Roman" w:hAnsi="Times New Roman" w:cs="Times New Roman"/>
          <w:sz w:val="24"/>
          <w:szCs w:val="24"/>
        </w:rPr>
        <w:t xml:space="preserve"> I3</w:t>
      </w:r>
      <w:r>
        <w:rPr>
          <w:rFonts w:ascii="Times New Roman" w:hAnsi="Times New Roman" w:cs="Times New Roman"/>
          <w:sz w:val="24"/>
          <w:szCs w:val="24"/>
        </w:rPr>
        <w:t>. They</w:t>
      </w:r>
      <w:r w:rsidRPr="00BE0F30">
        <w:rPr>
          <w:rFonts w:ascii="Times New Roman" w:hAnsi="Times New Roman" w:cs="Times New Roman"/>
          <w:sz w:val="24"/>
          <w:szCs w:val="24"/>
        </w:rPr>
        <w:t xml:space="preserve"> are represented differently for each category of funds in relation to t</w:t>
      </w:r>
      <w:r>
        <w:rPr>
          <w:rFonts w:ascii="Times New Roman" w:hAnsi="Times New Roman" w:cs="Times New Roman"/>
          <w:sz w:val="24"/>
          <w:szCs w:val="24"/>
        </w:rPr>
        <w:t>he most representative elements</w:t>
      </w:r>
      <w:r w:rsidRPr="00BE0F30">
        <w:rPr>
          <w:rFonts w:ascii="Times New Roman" w:hAnsi="Times New Roman" w:cs="Times New Roman"/>
          <w:sz w:val="24"/>
          <w:szCs w:val="24"/>
        </w:rPr>
        <w:t xml:space="preserve">. </w:t>
      </w:r>
      <w:r>
        <w:rPr>
          <w:rFonts w:ascii="Times New Roman" w:hAnsi="Times New Roman" w:cs="Times New Roman"/>
          <w:sz w:val="24"/>
          <w:szCs w:val="24"/>
        </w:rPr>
        <w:t>The outputs of the model</w:t>
      </w:r>
      <w:r w:rsidRPr="00BE0F30">
        <w:rPr>
          <w:rFonts w:ascii="Times New Roman" w:hAnsi="Times New Roman" w:cs="Times New Roman"/>
          <w:sz w:val="24"/>
          <w:szCs w:val="24"/>
        </w:rPr>
        <w:t xml:space="preserve"> are indicators that describe the </w:t>
      </w:r>
      <w:r>
        <w:rPr>
          <w:rFonts w:ascii="Times New Roman" w:hAnsi="Times New Roman" w:cs="Times New Roman"/>
          <w:sz w:val="24"/>
          <w:szCs w:val="24"/>
        </w:rPr>
        <w:t>“effects or the results</w:t>
      </w:r>
      <w:r w:rsidRPr="00BE0F30">
        <w:rPr>
          <w:rFonts w:ascii="Times New Roman" w:hAnsi="Times New Roman" w:cs="Times New Roman"/>
          <w:sz w:val="24"/>
          <w:szCs w:val="24"/>
        </w:rPr>
        <w:t xml:space="preserve">" which we consider appropriate </w:t>
      </w:r>
      <w:r>
        <w:rPr>
          <w:rFonts w:ascii="Times New Roman" w:hAnsi="Times New Roman" w:cs="Times New Roman"/>
          <w:sz w:val="24"/>
          <w:szCs w:val="24"/>
        </w:rPr>
        <w:t>in sizing</w:t>
      </w:r>
      <w:r w:rsidRPr="00BE0F30">
        <w:rPr>
          <w:rFonts w:ascii="Times New Roman" w:hAnsi="Times New Roman" w:cs="Times New Roman"/>
          <w:sz w:val="24"/>
          <w:szCs w:val="24"/>
        </w:rPr>
        <w:t xml:space="preserve"> </w:t>
      </w:r>
      <w:r>
        <w:rPr>
          <w:rFonts w:ascii="Times New Roman" w:hAnsi="Times New Roman" w:cs="Times New Roman"/>
          <w:sz w:val="24"/>
          <w:szCs w:val="24"/>
        </w:rPr>
        <w:t>the risk-adjusted performance (i.e. Sharpe ratio, Treynor and Jensen</w:t>
      </w:r>
      <w:r w:rsidRPr="00BE0F30">
        <w:rPr>
          <w:rFonts w:ascii="Times New Roman" w:hAnsi="Times New Roman" w:cs="Times New Roman"/>
          <w:sz w:val="24"/>
          <w:szCs w:val="24"/>
        </w:rPr>
        <w:t>) with respect to each of the</w:t>
      </w:r>
      <w:r>
        <w:rPr>
          <w:rFonts w:ascii="Times New Roman" w:hAnsi="Times New Roman" w:cs="Times New Roman"/>
          <w:sz w:val="24"/>
          <w:szCs w:val="24"/>
        </w:rPr>
        <w:t xml:space="preserve"> </w:t>
      </w:r>
      <w:r w:rsidRPr="00BE0F30">
        <w:rPr>
          <w:rFonts w:ascii="Times New Roman" w:hAnsi="Times New Roman" w:cs="Times New Roman"/>
          <w:sz w:val="24"/>
          <w:szCs w:val="24"/>
        </w:rPr>
        <w:t xml:space="preserve">analyzed funds </w:t>
      </w:r>
      <w:r>
        <w:rPr>
          <w:rFonts w:ascii="Times New Roman" w:hAnsi="Times New Roman" w:cs="Times New Roman"/>
          <w:sz w:val="24"/>
          <w:szCs w:val="24"/>
        </w:rPr>
        <w:t xml:space="preserve">(i.e. </w:t>
      </w:r>
      <w:r w:rsidRPr="00BE0F30">
        <w:rPr>
          <w:rFonts w:ascii="Times New Roman" w:hAnsi="Times New Roman" w:cs="Times New Roman"/>
          <w:sz w:val="24"/>
          <w:szCs w:val="24"/>
        </w:rPr>
        <w:t>FDA</w:t>
      </w:r>
      <w:r>
        <w:rPr>
          <w:rFonts w:ascii="Times New Roman" w:hAnsi="Times New Roman" w:cs="Times New Roman"/>
          <w:sz w:val="24"/>
          <w:szCs w:val="24"/>
        </w:rPr>
        <w:t>, FDD, FDO)</w:t>
      </w:r>
      <w:r w:rsidRPr="00BE0F30">
        <w:rPr>
          <w:rFonts w:ascii="Times New Roman" w:hAnsi="Times New Roman" w:cs="Times New Roman"/>
          <w:sz w:val="24"/>
          <w:szCs w:val="24"/>
        </w:rPr>
        <w:t xml:space="preserve">. </w:t>
      </w:r>
      <w:r w:rsidR="003F5218">
        <w:rPr>
          <w:rFonts w:ascii="Times New Roman" w:hAnsi="Times New Roman" w:cs="Times New Roman"/>
          <w:sz w:val="24"/>
          <w:szCs w:val="24"/>
        </w:rPr>
        <w:t xml:space="preserve">The structure of the models is briefly evidenced in table 5.2. </w:t>
      </w:r>
    </w:p>
    <w:p w:rsidR="00F95686" w:rsidRPr="008F00C9" w:rsidRDefault="00F95686" w:rsidP="00F95686">
      <w:pPr>
        <w:pStyle w:val="Caption"/>
        <w:spacing w:before="0" w:beforeAutospacing="0" w:after="0" w:afterAutospacing="0"/>
        <w:jc w:val="both"/>
        <w:rPr>
          <w:b/>
        </w:rPr>
      </w:pPr>
      <w:bookmarkStart w:id="33" w:name="_Toc449385171"/>
      <w:r w:rsidRPr="008F00C9">
        <w:rPr>
          <w:b/>
        </w:rPr>
        <w:t>Tab</w:t>
      </w:r>
      <w:r w:rsidR="009827AA">
        <w:rPr>
          <w:b/>
        </w:rPr>
        <w:t>le</w:t>
      </w:r>
      <w:r w:rsidRPr="008F00C9">
        <w:rPr>
          <w:b/>
        </w:rPr>
        <w:t xml:space="preserve"> 5. </w:t>
      </w:r>
      <w:r w:rsidR="004B4616" w:rsidRPr="008F00C9">
        <w:rPr>
          <w:b/>
        </w:rPr>
        <w:fldChar w:fldCharType="begin"/>
      </w:r>
      <w:r w:rsidRPr="008F00C9">
        <w:rPr>
          <w:b/>
        </w:rPr>
        <w:instrText xml:space="preserve"> SEQ Tabel_5. \* ARABIC </w:instrText>
      </w:r>
      <w:r w:rsidR="004B4616" w:rsidRPr="008F00C9">
        <w:rPr>
          <w:b/>
        </w:rPr>
        <w:fldChar w:fldCharType="separate"/>
      </w:r>
      <w:r w:rsidR="00695698" w:rsidRPr="008F00C9">
        <w:rPr>
          <w:b/>
          <w:noProof/>
        </w:rPr>
        <w:t>2</w:t>
      </w:r>
      <w:r w:rsidR="004B4616" w:rsidRPr="008F00C9">
        <w:rPr>
          <w:b/>
        </w:rPr>
        <w:fldChar w:fldCharType="end"/>
      </w:r>
      <w:r w:rsidRPr="008F00C9">
        <w:rPr>
          <w:b/>
        </w:rPr>
        <w:t xml:space="preserve"> </w:t>
      </w:r>
      <w:r w:rsidR="00822003">
        <w:rPr>
          <w:b/>
        </w:rPr>
        <w:t>I</w:t>
      </w:r>
      <w:r w:rsidRPr="008F00C9">
        <w:rPr>
          <w:b/>
        </w:rPr>
        <w:t>nput – output</w:t>
      </w:r>
      <w:r w:rsidR="00822003">
        <w:rPr>
          <w:b/>
        </w:rPr>
        <w:t xml:space="preserve"> variables</w:t>
      </w:r>
      <w:r w:rsidRPr="008F00C9">
        <w:rPr>
          <w:b/>
        </w:rPr>
        <w:t xml:space="preserve"> </w:t>
      </w:r>
      <w:r w:rsidR="00822003">
        <w:rPr>
          <w:b/>
        </w:rPr>
        <w:t>of</w:t>
      </w:r>
      <w:r w:rsidRPr="008F00C9">
        <w:rPr>
          <w:b/>
        </w:rPr>
        <w:t xml:space="preserve"> DEA</w:t>
      </w:r>
      <w:bookmarkEnd w:id="33"/>
      <w:r w:rsidRPr="008F00C9">
        <w:rPr>
          <w:b/>
        </w:rPr>
        <w:t xml:space="preserve"> </w:t>
      </w:r>
      <w:r w:rsidR="00822003">
        <w:rPr>
          <w:b/>
        </w:rPr>
        <w:t>efficiency testing model</w:t>
      </w:r>
    </w:p>
    <w:p w:rsidR="00F95686" w:rsidRPr="008F00C9" w:rsidRDefault="00F95686" w:rsidP="00F95686">
      <w:pPr>
        <w:pStyle w:val="Caption"/>
        <w:spacing w:before="0" w:beforeAutospacing="0" w:after="0" w:afterAutospacing="0"/>
        <w:jc w:val="center"/>
        <w:rPr>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1"/>
        <w:gridCol w:w="830"/>
        <w:gridCol w:w="778"/>
        <w:gridCol w:w="3774"/>
      </w:tblGrid>
      <w:tr w:rsidR="00F95686" w:rsidRPr="0033747B" w:rsidTr="00F95686">
        <w:tc>
          <w:tcPr>
            <w:tcW w:w="9243" w:type="dxa"/>
            <w:gridSpan w:val="4"/>
          </w:tcPr>
          <w:p w:rsidR="00F95686" w:rsidRPr="0033747B" w:rsidRDefault="00F95686" w:rsidP="00F95686">
            <w:pPr>
              <w:spacing w:after="0" w:line="240" w:lineRule="auto"/>
              <w:jc w:val="center"/>
              <w:rPr>
                <w:rFonts w:ascii="Times New Roman" w:hAnsi="Times New Roman" w:cs="Times New Roman"/>
                <w:b/>
                <w:noProof/>
                <w:sz w:val="20"/>
                <w:szCs w:val="24"/>
              </w:rPr>
            </w:pPr>
            <w:r w:rsidRPr="0033747B">
              <w:rPr>
                <w:rFonts w:ascii="Times New Roman" w:hAnsi="Times New Roman" w:cs="Times New Roman"/>
                <w:b/>
                <w:noProof/>
                <w:sz w:val="20"/>
                <w:szCs w:val="24"/>
              </w:rPr>
              <w:t>FDA</w:t>
            </w:r>
            <w:r w:rsidR="00822003" w:rsidRPr="0033747B">
              <w:rPr>
                <w:rFonts w:ascii="Times New Roman" w:hAnsi="Times New Roman" w:cs="Times New Roman"/>
                <w:b/>
                <w:noProof/>
                <w:sz w:val="20"/>
                <w:szCs w:val="24"/>
              </w:rPr>
              <w:t xml:space="preserve"> efficiency testing model</w:t>
            </w:r>
          </w:p>
        </w:tc>
      </w:tr>
      <w:tr w:rsidR="00F95686" w:rsidRPr="0033747B" w:rsidTr="00F95686">
        <w:tc>
          <w:tcPr>
            <w:tcW w:w="4691" w:type="dxa"/>
            <w:gridSpan w:val="2"/>
          </w:tcPr>
          <w:p w:rsidR="00F95686" w:rsidRPr="0033747B" w:rsidRDefault="00F95686" w:rsidP="00F95686">
            <w:pPr>
              <w:spacing w:after="0" w:line="240" w:lineRule="auto"/>
              <w:jc w:val="center"/>
              <w:rPr>
                <w:rFonts w:ascii="Times New Roman" w:hAnsi="Times New Roman" w:cs="Times New Roman"/>
                <w:b/>
                <w:noProof/>
                <w:sz w:val="20"/>
                <w:szCs w:val="24"/>
              </w:rPr>
            </w:pPr>
            <w:r w:rsidRPr="0033747B">
              <w:rPr>
                <w:rFonts w:ascii="Times New Roman" w:hAnsi="Times New Roman" w:cs="Times New Roman"/>
                <w:b/>
                <w:noProof/>
                <w:sz w:val="20"/>
                <w:szCs w:val="24"/>
              </w:rPr>
              <w:t>Input</w:t>
            </w:r>
          </w:p>
        </w:tc>
        <w:tc>
          <w:tcPr>
            <w:tcW w:w="4552" w:type="dxa"/>
            <w:gridSpan w:val="2"/>
          </w:tcPr>
          <w:p w:rsidR="00F95686" w:rsidRPr="0033747B" w:rsidRDefault="00F95686" w:rsidP="00F95686">
            <w:pPr>
              <w:spacing w:after="0" w:line="240" w:lineRule="auto"/>
              <w:jc w:val="center"/>
              <w:rPr>
                <w:rFonts w:ascii="Times New Roman" w:hAnsi="Times New Roman" w:cs="Times New Roman"/>
                <w:b/>
                <w:noProof/>
                <w:sz w:val="20"/>
                <w:szCs w:val="24"/>
              </w:rPr>
            </w:pPr>
            <w:r w:rsidRPr="0033747B">
              <w:rPr>
                <w:rFonts w:ascii="Times New Roman" w:hAnsi="Times New Roman" w:cs="Times New Roman"/>
                <w:b/>
                <w:noProof/>
                <w:sz w:val="20"/>
                <w:szCs w:val="24"/>
              </w:rPr>
              <w:t>Output</w:t>
            </w:r>
          </w:p>
        </w:tc>
      </w:tr>
      <w:tr w:rsidR="00F95686" w:rsidRPr="0033747B" w:rsidTr="00F95686">
        <w:tc>
          <w:tcPr>
            <w:tcW w:w="3861" w:type="dxa"/>
          </w:tcPr>
          <w:p w:rsidR="00F95686" w:rsidRPr="0033747B" w:rsidRDefault="00F95686" w:rsidP="00F95686">
            <w:pPr>
              <w:spacing w:after="0" w:line="240" w:lineRule="auto"/>
              <w:ind w:left="284"/>
              <w:jc w:val="both"/>
              <w:rPr>
                <w:rFonts w:ascii="Times New Roman" w:hAnsi="Times New Roman" w:cs="Times New Roman"/>
                <w:sz w:val="20"/>
                <w:szCs w:val="24"/>
              </w:rPr>
            </w:pPr>
            <w:r w:rsidRPr="0033747B">
              <w:rPr>
                <w:rFonts w:ascii="Times New Roman" w:hAnsi="Times New Roman" w:cs="Times New Roman"/>
                <w:sz w:val="20"/>
                <w:szCs w:val="24"/>
              </w:rPr>
              <w:t xml:space="preserve">I1: </w:t>
            </w:r>
            <w:r w:rsidR="003F5218" w:rsidRPr="0033747B">
              <w:rPr>
                <w:rFonts w:ascii="Times New Roman" w:hAnsi="Times New Roman" w:cs="Times New Roman"/>
                <w:sz w:val="20"/>
                <w:szCs w:val="24"/>
              </w:rPr>
              <w:t>Cost indice</w:t>
            </w:r>
            <w:r w:rsidRPr="0033747B">
              <w:rPr>
                <w:rFonts w:ascii="Times New Roman" w:hAnsi="Times New Roman" w:cs="Times New Roman"/>
                <w:sz w:val="20"/>
                <w:szCs w:val="24"/>
              </w:rPr>
              <w:t xml:space="preserve">  </w:t>
            </w:r>
            <w:r w:rsidRPr="0033747B">
              <w:rPr>
                <w:rFonts w:ascii="Times New Roman" w:hAnsi="Times New Roman" w:cs="Times New Roman"/>
                <w:i/>
                <w:sz w:val="20"/>
                <w:szCs w:val="24"/>
              </w:rPr>
              <w:t>Ic</w:t>
            </w:r>
          </w:p>
          <w:p w:rsidR="00F95686" w:rsidRPr="0033747B" w:rsidRDefault="00F95686" w:rsidP="00F95686">
            <w:pPr>
              <w:spacing w:after="0" w:line="240" w:lineRule="auto"/>
              <w:ind w:left="284"/>
              <w:jc w:val="both"/>
              <w:rPr>
                <w:rFonts w:ascii="Times New Roman" w:hAnsi="Times New Roman" w:cs="Times New Roman"/>
                <w:sz w:val="20"/>
                <w:szCs w:val="24"/>
              </w:rPr>
            </w:pPr>
            <w:r w:rsidRPr="0033747B">
              <w:rPr>
                <w:rFonts w:ascii="Times New Roman" w:hAnsi="Times New Roman" w:cs="Times New Roman"/>
                <w:sz w:val="20"/>
                <w:szCs w:val="24"/>
              </w:rPr>
              <w:t xml:space="preserve">I2: </w:t>
            </w:r>
            <w:r w:rsidR="003F5218" w:rsidRPr="0033747B">
              <w:rPr>
                <w:rFonts w:ascii="Times New Roman" w:hAnsi="Times New Roman" w:cs="Times New Roman"/>
                <w:sz w:val="20"/>
                <w:szCs w:val="24"/>
              </w:rPr>
              <w:t>Risk elements</w:t>
            </w:r>
            <w:r w:rsidRPr="0033747B">
              <w:rPr>
                <w:rFonts w:ascii="Times New Roman" w:hAnsi="Times New Roman" w:cs="Times New Roman"/>
                <w:sz w:val="20"/>
                <w:szCs w:val="24"/>
              </w:rPr>
              <w:t xml:space="preserve">  </w:t>
            </w:r>
            <m:oMath>
              <m:sSup>
                <m:sSupPr>
                  <m:ctrlPr>
                    <w:rPr>
                      <w:rFonts w:ascii="Cambria Math" w:hAnsi="Cambria Math" w:cs="Times New Roman"/>
                      <w:i/>
                      <w:sz w:val="20"/>
                      <w:szCs w:val="24"/>
                    </w:rPr>
                  </m:ctrlPr>
                </m:sSupPr>
                <m:e>
                  <m:r>
                    <w:rPr>
                      <w:rFonts w:ascii="Cambria Math" w:hAnsi="Cambria Math" w:cs="Times New Roman"/>
                      <w:sz w:val="20"/>
                      <w:szCs w:val="24"/>
                    </w:rPr>
                    <m:t>σ</m:t>
                  </m:r>
                </m:e>
                <m:sup>
                  <m:r>
                    <w:rPr>
                      <w:rFonts w:ascii="Cambria Math" w:hAnsi="Cambria Math" w:cs="Times New Roman"/>
                      <w:sz w:val="20"/>
                      <w:szCs w:val="24"/>
                    </w:rPr>
                    <m:t>2</m:t>
                  </m:r>
                </m:sup>
              </m:sSup>
              <m:r>
                <w:rPr>
                  <w:rFonts w:ascii="Cambria Math" w:hAnsi="Cambria Math" w:cs="Times New Roman"/>
                  <w:sz w:val="20"/>
                  <w:szCs w:val="24"/>
                </w:rPr>
                <m:t>, β</m:t>
              </m:r>
            </m:oMath>
          </w:p>
          <w:p w:rsidR="00F95686" w:rsidRPr="0033747B" w:rsidRDefault="00F95686" w:rsidP="003F5218">
            <w:pPr>
              <w:spacing w:after="0" w:line="240" w:lineRule="auto"/>
              <w:ind w:left="284"/>
              <w:jc w:val="both"/>
              <w:rPr>
                <w:rFonts w:ascii="Times New Roman" w:hAnsi="Times New Roman" w:cs="Times New Roman"/>
                <w:i/>
                <w:sz w:val="20"/>
                <w:szCs w:val="24"/>
              </w:rPr>
            </w:pPr>
            <w:r w:rsidRPr="0033747B">
              <w:rPr>
                <w:rFonts w:ascii="Times New Roman" w:hAnsi="Times New Roman" w:cs="Times New Roman"/>
                <w:sz w:val="20"/>
                <w:szCs w:val="24"/>
              </w:rPr>
              <w:t xml:space="preserve">I3: </w:t>
            </w:r>
            <w:r w:rsidR="003F5218" w:rsidRPr="0033747B">
              <w:rPr>
                <w:rFonts w:ascii="Times New Roman" w:hAnsi="Times New Roman" w:cs="Times New Roman"/>
                <w:sz w:val="20"/>
                <w:szCs w:val="24"/>
              </w:rPr>
              <w:t>Size measures</w:t>
            </w:r>
            <w:r w:rsidRPr="0033747B">
              <w:rPr>
                <w:rFonts w:ascii="Times New Roman" w:hAnsi="Times New Roman" w:cs="Times New Roman"/>
                <w:sz w:val="20"/>
                <w:szCs w:val="24"/>
              </w:rPr>
              <w:t xml:space="preserve">: </w:t>
            </w:r>
            <w:r w:rsidR="003F5218" w:rsidRPr="0033747B">
              <w:rPr>
                <w:rFonts w:ascii="Times New Roman" w:hAnsi="Times New Roman" w:cs="Times New Roman"/>
                <w:i/>
                <w:sz w:val="20"/>
                <w:szCs w:val="24"/>
              </w:rPr>
              <w:t>market share</w:t>
            </w:r>
            <w:r w:rsidRPr="0033747B">
              <w:rPr>
                <w:rFonts w:ascii="Times New Roman" w:hAnsi="Times New Roman" w:cs="Times New Roman"/>
                <w:i/>
                <w:sz w:val="20"/>
                <w:szCs w:val="24"/>
              </w:rPr>
              <w:t>, ln</w:t>
            </w:r>
            <w:r w:rsidR="003F5218" w:rsidRPr="0033747B">
              <w:rPr>
                <w:rFonts w:ascii="Times New Roman" w:hAnsi="Times New Roman" w:cs="Times New Roman"/>
                <w:i/>
                <w:sz w:val="20"/>
                <w:szCs w:val="24"/>
              </w:rPr>
              <w:t>NAV</w:t>
            </w:r>
            <w:r w:rsidRPr="0033747B">
              <w:rPr>
                <w:rFonts w:ascii="Times New Roman" w:hAnsi="Times New Roman" w:cs="Times New Roman"/>
                <w:i/>
                <w:sz w:val="20"/>
                <w:szCs w:val="24"/>
              </w:rPr>
              <w:t xml:space="preserve">, </w:t>
            </w:r>
            <w:r w:rsidRPr="0033747B">
              <w:rPr>
                <w:rFonts w:ascii="Calibri" w:hAnsi="Calibri" w:cs="Calibri"/>
                <w:i/>
                <w:sz w:val="20"/>
                <w:szCs w:val="24"/>
              </w:rPr>
              <w:t>∆</w:t>
            </w:r>
            <w:r w:rsidRPr="0033747B">
              <w:rPr>
                <w:rFonts w:ascii="Times New Roman" w:hAnsi="Times New Roman" w:cs="Times New Roman"/>
                <w:i/>
                <w:sz w:val="20"/>
                <w:szCs w:val="24"/>
              </w:rPr>
              <w:t>%</w:t>
            </w:r>
            <w:r w:rsidR="003F5218" w:rsidRPr="0033747B">
              <w:rPr>
                <w:rFonts w:ascii="Times New Roman" w:hAnsi="Times New Roman" w:cs="Times New Roman"/>
                <w:i/>
                <w:sz w:val="20"/>
                <w:szCs w:val="24"/>
              </w:rPr>
              <w:t>NAV</w:t>
            </w:r>
          </w:p>
        </w:tc>
        <w:tc>
          <w:tcPr>
            <w:tcW w:w="1608" w:type="dxa"/>
            <w:gridSpan w:val="2"/>
          </w:tcPr>
          <w:p w:rsidR="00F95686" w:rsidRPr="0033747B" w:rsidRDefault="004B4616" w:rsidP="00F95686">
            <w:pPr>
              <w:spacing w:after="0" w:line="240" w:lineRule="auto"/>
              <w:jc w:val="center"/>
              <w:rPr>
                <w:rFonts w:ascii="Times New Roman" w:hAnsi="Times New Roman" w:cs="Times New Roman"/>
                <w:noProof/>
                <w:sz w:val="20"/>
                <w:szCs w:val="24"/>
              </w:rPr>
            </w:pPr>
            <w:r w:rsidRPr="0033747B">
              <w:rPr>
                <w:rFonts w:ascii="Times New Roman" w:hAnsi="Times New Roman" w:cs="Times New Roman"/>
                <w:noProof/>
                <w:sz w:val="20"/>
                <w:szCs w:val="24"/>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6" type="#_x0000_t69" style="position:absolute;left:0;text-align:left;margin-left:24.45pt;margin-top:7.8pt;width:36.75pt;height:10.5pt;z-index:251660288;mso-position-horizontal-relative:text;mso-position-vertical-relative:text"/>
              </w:pict>
            </w:r>
          </w:p>
        </w:tc>
        <w:tc>
          <w:tcPr>
            <w:tcW w:w="3774" w:type="dxa"/>
          </w:tcPr>
          <w:p w:rsidR="00F95686" w:rsidRPr="0033747B" w:rsidRDefault="00F95686" w:rsidP="00F95686">
            <w:pPr>
              <w:spacing w:after="0" w:line="240" w:lineRule="auto"/>
              <w:jc w:val="both"/>
              <w:rPr>
                <w:rFonts w:ascii="Times New Roman" w:hAnsi="Times New Roman" w:cs="Times New Roman"/>
                <w:sz w:val="20"/>
                <w:szCs w:val="24"/>
              </w:rPr>
            </w:pPr>
            <w:r w:rsidRPr="0033747B">
              <w:rPr>
                <w:rFonts w:ascii="Times New Roman" w:hAnsi="Times New Roman" w:cs="Times New Roman"/>
                <w:sz w:val="20"/>
                <w:szCs w:val="24"/>
              </w:rPr>
              <w:t xml:space="preserve">   O1: </w:t>
            </w:r>
            <w:r w:rsidR="004A1362" w:rsidRPr="0033747B">
              <w:rPr>
                <w:rFonts w:ascii="Times New Roman" w:hAnsi="Times New Roman" w:cs="Times New Roman"/>
                <w:sz w:val="20"/>
                <w:szCs w:val="24"/>
              </w:rPr>
              <w:t>Risk-adjusted performance measured through</w:t>
            </w:r>
            <w:r w:rsidRPr="0033747B">
              <w:rPr>
                <w:rFonts w:ascii="Times New Roman" w:hAnsi="Times New Roman" w:cs="Times New Roman"/>
                <w:sz w:val="20"/>
                <w:szCs w:val="24"/>
              </w:rPr>
              <w:t xml:space="preserve"> Jensen / Treynor / Sharpe </w:t>
            </w:r>
            <w:r w:rsidR="004A1362" w:rsidRPr="0033747B">
              <w:rPr>
                <w:rFonts w:ascii="Times New Roman" w:hAnsi="Times New Roman" w:cs="Times New Roman"/>
                <w:sz w:val="20"/>
                <w:szCs w:val="24"/>
              </w:rPr>
              <w:t>rates</w:t>
            </w:r>
          </w:p>
          <w:p w:rsidR="00F95686" w:rsidRPr="0033747B" w:rsidRDefault="00F95686" w:rsidP="00F95686">
            <w:pPr>
              <w:spacing w:after="0" w:line="240" w:lineRule="auto"/>
              <w:jc w:val="center"/>
              <w:rPr>
                <w:rFonts w:ascii="Times New Roman" w:hAnsi="Times New Roman" w:cs="Times New Roman"/>
                <w:noProof/>
                <w:sz w:val="20"/>
                <w:szCs w:val="24"/>
              </w:rPr>
            </w:pPr>
          </w:p>
        </w:tc>
      </w:tr>
      <w:tr w:rsidR="00F95686" w:rsidRPr="0033747B" w:rsidTr="00F95686">
        <w:tc>
          <w:tcPr>
            <w:tcW w:w="9243" w:type="dxa"/>
            <w:gridSpan w:val="4"/>
          </w:tcPr>
          <w:p w:rsidR="00F95686" w:rsidRPr="0033747B" w:rsidRDefault="00F95686" w:rsidP="00F95686">
            <w:pPr>
              <w:spacing w:after="0" w:line="240" w:lineRule="auto"/>
              <w:jc w:val="center"/>
              <w:rPr>
                <w:rFonts w:ascii="Times New Roman" w:hAnsi="Times New Roman" w:cs="Times New Roman"/>
                <w:b/>
                <w:noProof/>
                <w:sz w:val="20"/>
                <w:szCs w:val="24"/>
              </w:rPr>
            </w:pPr>
            <w:r w:rsidRPr="0033747B">
              <w:rPr>
                <w:rFonts w:ascii="Times New Roman" w:hAnsi="Times New Roman" w:cs="Times New Roman"/>
                <w:b/>
                <w:noProof/>
                <w:sz w:val="20"/>
                <w:szCs w:val="24"/>
              </w:rPr>
              <w:t>FDD</w:t>
            </w:r>
            <w:r w:rsidR="003B6C01" w:rsidRPr="0033747B">
              <w:rPr>
                <w:rFonts w:ascii="Times New Roman" w:hAnsi="Times New Roman" w:cs="Times New Roman"/>
                <w:b/>
                <w:noProof/>
                <w:sz w:val="20"/>
                <w:szCs w:val="24"/>
              </w:rPr>
              <w:t xml:space="preserve"> efficiency testing model</w:t>
            </w:r>
          </w:p>
        </w:tc>
      </w:tr>
      <w:tr w:rsidR="00F95686" w:rsidRPr="0033747B" w:rsidTr="00F95686">
        <w:tc>
          <w:tcPr>
            <w:tcW w:w="4691" w:type="dxa"/>
            <w:gridSpan w:val="2"/>
          </w:tcPr>
          <w:p w:rsidR="00F95686" w:rsidRPr="0033747B" w:rsidRDefault="00F95686" w:rsidP="00F95686">
            <w:pPr>
              <w:spacing w:after="0" w:line="240" w:lineRule="auto"/>
              <w:jc w:val="center"/>
              <w:rPr>
                <w:rFonts w:ascii="Times New Roman" w:hAnsi="Times New Roman" w:cs="Times New Roman"/>
                <w:b/>
                <w:noProof/>
                <w:sz w:val="20"/>
                <w:szCs w:val="24"/>
              </w:rPr>
            </w:pPr>
            <w:r w:rsidRPr="0033747B">
              <w:rPr>
                <w:rFonts w:ascii="Times New Roman" w:hAnsi="Times New Roman" w:cs="Times New Roman"/>
                <w:b/>
                <w:noProof/>
                <w:sz w:val="20"/>
                <w:szCs w:val="24"/>
              </w:rPr>
              <w:t>Input</w:t>
            </w:r>
          </w:p>
        </w:tc>
        <w:tc>
          <w:tcPr>
            <w:tcW w:w="4552" w:type="dxa"/>
            <w:gridSpan w:val="2"/>
          </w:tcPr>
          <w:p w:rsidR="00F95686" w:rsidRPr="0033747B" w:rsidRDefault="00F95686" w:rsidP="00F95686">
            <w:pPr>
              <w:spacing w:after="0" w:line="240" w:lineRule="auto"/>
              <w:jc w:val="center"/>
              <w:rPr>
                <w:rFonts w:ascii="Times New Roman" w:hAnsi="Times New Roman" w:cs="Times New Roman"/>
                <w:b/>
                <w:noProof/>
                <w:sz w:val="20"/>
                <w:szCs w:val="24"/>
              </w:rPr>
            </w:pPr>
            <w:r w:rsidRPr="0033747B">
              <w:rPr>
                <w:rFonts w:ascii="Times New Roman" w:hAnsi="Times New Roman" w:cs="Times New Roman"/>
                <w:b/>
                <w:noProof/>
                <w:sz w:val="20"/>
                <w:szCs w:val="24"/>
              </w:rPr>
              <w:t>Output</w:t>
            </w:r>
          </w:p>
        </w:tc>
      </w:tr>
      <w:tr w:rsidR="00F95686" w:rsidRPr="0033747B" w:rsidTr="00F95686">
        <w:tc>
          <w:tcPr>
            <w:tcW w:w="3861" w:type="dxa"/>
          </w:tcPr>
          <w:p w:rsidR="00F95686" w:rsidRPr="0033747B" w:rsidRDefault="00F95686" w:rsidP="00F95686">
            <w:pPr>
              <w:spacing w:after="0" w:line="240" w:lineRule="auto"/>
              <w:ind w:left="284"/>
              <w:jc w:val="both"/>
              <w:rPr>
                <w:rFonts w:ascii="Times New Roman" w:hAnsi="Times New Roman" w:cs="Times New Roman"/>
                <w:sz w:val="20"/>
                <w:szCs w:val="24"/>
              </w:rPr>
            </w:pPr>
            <w:r w:rsidRPr="0033747B">
              <w:rPr>
                <w:rFonts w:ascii="Times New Roman" w:hAnsi="Times New Roman" w:cs="Times New Roman"/>
                <w:sz w:val="20"/>
                <w:szCs w:val="24"/>
              </w:rPr>
              <w:t xml:space="preserve">I1: </w:t>
            </w:r>
            <w:r w:rsidR="003F5218" w:rsidRPr="0033747B">
              <w:rPr>
                <w:rFonts w:ascii="Times New Roman" w:hAnsi="Times New Roman" w:cs="Times New Roman"/>
                <w:sz w:val="20"/>
                <w:szCs w:val="24"/>
              </w:rPr>
              <w:t xml:space="preserve">Cost indice  </w:t>
            </w:r>
          </w:p>
          <w:p w:rsidR="00F95686" w:rsidRPr="0033747B" w:rsidRDefault="00F95686" w:rsidP="00F95686">
            <w:pPr>
              <w:spacing w:after="0" w:line="240" w:lineRule="auto"/>
              <w:ind w:left="284"/>
              <w:jc w:val="both"/>
              <w:rPr>
                <w:rFonts w:ascii="Times New Roman" w:hAnsi="Times New Roman" w:cs="Times New Roman"/>
                <w:sz w:val="20"/>
                <w:szCs w:val="24"/>
              </w:rPr>
            </w:pPr>
            <w:r w:rsidRPr="0033747B">
              <w:rPr>
                <w:rFonts w:ascii="Times New Roman" w:hAnsi="Times New Roman" w:cs="Times New Roman"/>
                <w:sz w:val="20"/>
                <w:szCs w:val="24"/>
              </w:rPr>
              <w:t xml:space="preserve">I2: </w:t>
            </w:r>
            <w:r w:rsidR="003F5218" w:rsidRPr="0033747B">
              <w:rPr>
                <w:rFonts w:ascii="Times New Roman" w:hAnsi="Times New Roman" w:cs="Times New Roman"/>
                <w:sz w:val="20"/>
                <w:szCs w:val="24"/>
              </w:rPr>
              <w:t xml:space="preserve">Risk elements  </w:t>
            </w:r>
            <m:oMath>
              <m:sSup>
                <m:sSupPr>
                  <m:ctrlPr>
                    <w:rPr>
                      <w:rFonts w:ascii="Cambria Math" w:hAnsi="Cambria Math" w:cs="Times New Roman"/>
                      <w:i/>
                      <w:sz w:val="20"/>
                      <w:szCs w:val="24"/>
                    </w:rPr>
                  </m:ctrlPr>
                </m:sSupPr>
                <m:e>
                  <m:r>
                    <w:rPr>
                      <w:rFonts w:ascii="Cambria Math" w:hAnsi="Cambria Math" w:cs="Times New Roman"/>
                      <w:sz w:val="20"/>
                      <w:szCs w:val="24"/>
                    </w:rPr>
                    <m:t>σ</m:t>
                  </m:r>
                </m:e>
                <m:sup>
                  <m:r>
                    <w:rPr>
                      <w:rFonts w:ascii="Cambria Math" w:hAnsi="Cambria Math" w:cs="Times New Roman"/>
                      <w:sz w:val="20"/>
                      <w:szCs w:val="24"/>
                    </w:rPr>
                    <m:t>2</m:t>
                  </m:r>
                </m:sup>
              </m:sSup>
              <m:r>
                <w:rPr>
                  <w:rFonts w:ascii="Cambria Math" w:hAnsi="Cambria Math" w:cs="Times New Roman"/>
                  <w:sz w:val="20"/>
                  <w:szCs w:val="24"/>
                </w:rPr>
                <m:t>, β</m:t>
              </m:r>
            </m:oMath>
          </w:p>
          <w:p w:rsidR="00F95686" w:rsidRPr="0033747B" w:rsidRDefault="00F95686" w:rsidP="00F95686">
            <w:pPr>
              <w:spacing w:after="0" w:line="240" w:lineRule="auto"/>
              <w:ind w:left="284"/>
              <w:jc w:val="both"/>
              <w:rPr>
                <w:rFonts w:ascii="Times New Roman" w:hAnsi="Times New Roman" w:cs="Times New Roman"/>
                <w:sz w:val="20"/>
                <w:szCs w:val="24"/>
              </w:rPr>
            </w:pPr>
            <w:r w:rsidRPr="0033747B">
              <w:rPr>
                <w:rFonts w:ascii="Times New Roman" w:hAnsi="Times New Roman" w:cs="Times New Roman"/>
                <w:sz w:val="20"/>
                <w:szCs w:val="24"/>
              </w:rPr>
              <w:t xml:space="preserve">I3: </w:t>
            </w:r>
            <w:r w:rsidR="003F5218" w:rsidRPr="0033747B">
              <w:rPr>
                <w:rFonts w:ascii="Times New Roman" w:hAnsi="Times New Roman" w:cs="Times New Roman"/>
                <w:sz w:val="20"/>
                <w:szCs w:val="24"/>
              </w:rPr>
              <w:t>Size measures</w:t>
            </w:r>
            <w:r w:rsidRPr="0033747B">
              <w:rPr>
                <w:rFonts w:ascii="Times New Roman" w:hAnsi="Times New Roman" w:cs="Times New Roman"/>
                <w:sz w:val="20"/>
                <w:szCs w:val="24"/>
              </w:rPr>
              <w:t xml:space="preserve">: </w:t>
            </w:r>
            <w:r w:rsidR="003F5218" w:rsidRPr="0033747B">
              <w:rPr>
                <w:rFonts w:ascii="Times New Roman" w:hAnsi="Times New Roman" w:cs="Times New Roman"/>
                <w:i/>
                <w:sz w:val="20"/>
                <w:szCs w:val="24"/>
              </w:rPr>
              <w:t>market share</w:t>
            </w:r>
            <w:r w:rsidRPr="0033747B">
              <w:rPr>
                <w:rFonts w:ascii="Times New Roman" w:hAnsi="Times New Roman" w:cs="Times New Roman"/>
                <w:i/>
                <w:sz w:val="20"/>
                <w:szCs w:val="24"/>
              </w:rPr>
              <w:t xml:space="preserve">, </w:t>
            </w:r>
            <w:r w:rsidR="003F5218" w:rsidRPr="0033747B">
              <w:rPr>
                <w:rFonts w:ascii="Times New Roman" w:hAnsi="Times New Roman" w:cs="Times New Roman"/>
                <w:i/>
                <w:sz w:val="20"/>
                <w:szCs w:val="24"/>
              </w:rPr>
              <w:t xml:space="preserve">lnNAV, </w:t>
            </w:r>
            <w:r w:rsidR="003F5218" w:rsidRPr="0033747B">
              <w:rPr>
                <w:rFonts w:ascii="Calibri" w:hAnsi="Calibri" w:cs="Calibri"/>
                <w:i/>
                <w:sz w:val="20"/>
                <w:szCs w:val="24"/>
              </w:rPr>
              <w:t>∆</w:t>
            </w:r>
            <w:r w:rsidR="003F5218" w:rsidRPr="0033747B">
              <w:rPr>
                <w:rFonts w:ascii="Times New Roman" w:hAnsi="Times New Roman" w:cs="Times New Roman"/>
                <w:i/>
                <w:sz w:val="20"/>
                <w:szCs w:val="24"/>
              </w:rPr>
              <w:t>%NAV</w:t>
            </w:r>
          </w:p>
        </w:tc>
        <w:tc>
          <w:tcPr>
            <w:tcW w:w="1608" w:type="dxa"/>
            <w:gridSpan w:val="2"/>
          </w:tcPr>
          <w:p w:rsidR="00F95686" w:rsidRPr="0033747B" w:rsidRDefault="004B4616" w:rsidP="00F95686">
            <w:pPr>
              <w:spacing w:after="0" w:line="240" w:lineRule="auto"/>
              <w:jc w:val="center"/>
              <w:rPr>
                <w:rFonts w:ascii="Times New Roman" w:hAnsi="Times New Roman" w:cs="Times New Roman"/>
                <w:noProof/>
                <w:sz w:val="20"/>
                <w:szCs w:val="24"/>
              </w:rPr>
            </w:pPr>
            <w:r w:rsidRPr="0033747B">
              <w:rPr>
                <w:rFonts w:ascii="Times New Roman" w:hAnsi="Times New Roman" w:cs="Times New Roman"/>
                <w:noProof/>
                <w:sz w:val="20"/>
                <w:szCs w:val="24"/>
              </w:rPr>
              <w:pict>
                <v:shape id="_x0000_s1027" type="#_x0000_t69" style="position:absolute;left:0;text-align:left;margin-left:24.45pt;margin-top:7.8pt;width:36.75pt;height:10.5pt;z-index:251661312;mso-position-horizontal-relative:text;mso-position-vertical-relative:text"/>
              </w:pict>
            </w:r>
          </w:p>
        </w:tc>
        <w:tc>
          <w:tcPr>
            <w:tcW w:w="3774" w:type="dxa"/>
          </w:tcPr>
          <w:p w:rsidR="00F95686" w:rsidRPr="0033747B" w:rsidRDefault="00F95686" w:rsidP="00F95686">
            <w:pPr>
              <w:spacing w:after="0" w:line="240" w:lineRule="auto"/>
              <w:jc w:val="both"/>
              <w:rPr>
                <w:rFonts w:ascii="Times New Roman" w:hAnsi="Times New Roman" w:cs="Times New Roman"/>
                <w:sz w:val="20"/>
                <w:szCs w:val="24"/>
              </w:rPr>
            </w:pPr>
            <w:r w:rsidRPr="0033747B">
              <w:rPr>
                <w:rFonts w:ascii="Times New Roman" w:hAnsi="Times New Roman" w:cs="Times New Roman"/>
                <w:sz w:val="20"/>
                <w:szCs w:val="24"/>
              </w:rPr>
              <w:t xml:space="preserve">   O1: </w:t>
            </w:r>
            <w:r w:rsidR="004A1362" w:rsidRPr="0033747B">
              <w:rPr>
                <w:rFonts w:ascii="Times New Roman" w:hAnsi="Times New Roman" w:cs="Times New Roman"/>
                <w:sz w:val="20"/>
                <w:szCs w:val="24"/>
              </w:rPr>
              <w:t xml:space="preserve">Risk-adjusted performance measured through </w:t>
            </w:r>
            <w:r w:rsidRPr="0033747B">
              <w:rPr>
                <w:rFonts w:ascii="Times New Roman" w:hAnsi="Times New Roman" w:cs="Times New Roman"/>
                <w:sz w:val="20"/>
                <w:szCs w:val="24"/>
              </w:rPr>
              <w:t xml:space="preserve">Sharpe </w:t>
            </w:r>
            <w:r w:rsidR="004A1362" w:rsidRPr="0033747B">
              <w:rPr>
                <w:rFonts w:ascii="Times New Roman" w:hAnsi="Times New Roman" w:cs="Times New Roman"/>
                <w:sz w:val="20"/>
                <w:szCs w:val="24"/>
              </w:rPr>
              <w:t xml:space="preserve">and </w:t>
            </w:r>
            <w:r w:rsidRPr="0033747B">
              <w:rPr>
                <w:rFonts w:ascii="Times New Roman" w:hAnsi="Times New Roman" w:cs="Times New Roman"/>
                <w:sz w:val="20"/>
                <w:szCs w:val="24"/>
              </w:rPr>
              <w:t xml:space="preserve">Treynor </w:t>
            </w:r>
            <w:r w:rsidR="004A1362" w:rsidRPr="0033747B">
              <w:rPr>
                <w:rFonts w:ascii="Times New Roman" w:hAnsi="Times New Roman" w:cs="Times New Roman"/>
                <w:sz w:val="20"/>
                <w:szCs w:val="24"/>
              </w:rPr>
              <w:t>rates</w:t>
            </w:r>
          </w:p>
          <w:p w:rsidR="00F95686" w:rsidRPr="0033747B" w:rsidRDefault="00F95686" w:rsidP="00F95686">
            <w:pPr>
              <w:spacing w:after="0" w:line="240" w:lineRule="auto"/>
              <w:jc w:val="center"/>
              <w:rPr>
                <w:rFonts w:ascii="Times New Roman" w:hAnsi="Times New Roman" w:cs="Times New Roman"/>
                <w:noProof/>
                <w:sz w:val="20"/>
                <w:szCs w:val="24"/>
              </w:rPr>
            </w:pPr>
          </w:p>
        </w:tc>
      </w:tr>
      <w:tr w:rsidR="00F95686" w:rsidRPr="0033747B" w:rsidTr="00F95686">
        <w:tc>
          <w:tcPr>
            <w:tcW w:w="9243" w:type="dxa"/>
            <w:gridSpan w:val="4"/>
          </w:tcPr>
          <w:p w:rsidR="00F95686" w:rsidRPr="0033747B" w:rsidRDefault="00F95686" w:rsidP="00F95686">
            <w:pPr>
              <w:spacing w:after="0" w:line="240" w:lineRule="auto"/>
              <w:jc w:val="center"/>
              <w:rPr>
                <w:rFonts w:ascii="Times New Roman" w:hAnsi="Times New Roman" w:cs="Times New Roman"/>
                <w:b/>
                <w:noProof/>
                <w:sz w:val="20"/>
                <w:szCs w:val="24"/>
              </w:rPr>
            </w:pPr>
            <w:r w:rsidRPr="0033747B">
              <w:rPr>
                <w:rFonts w:ascii="Times New Roman" w:hAnsi="Times New Roman" w:cs="Times New Roman"/>
                <w:b/>
                <w:noProof/>
                <w:sz w:val="20"/>
                <w:szCs w:val="24"/>
              </w:rPr>
              <w:t>FDO</w:t>
            </w:r>
            <w:r w:rsidR="003B6C01" w:rsidRPr="0033747B">
              <w:rPr>
                <w:rFonts w:ascii="Times New Roman" w:hAnsi="Times New Roman" w:cs="Times New Roman"/>
                <w:b/>
                <w:noProof/>
                <w:sz w:val="20"/>
                <w:szCs w:val="24"/>
              </w:rPr>
              <w:t xml:space="preserve"> efficiency testing model</w:t>
            </w:r>
          </w:p>
        </w:tc>
      </w:tr>
      <w:tr w:rsidR="00F95686" w:rsidRPr="0033747B" w:rsidTr="00F95686">
        <w:tc>
          <w:tcPr>
            <w:tcW w:w="4691" w:type="dxa"/>
            <w:gridSpan w:val="2"/>
          </w:tcPr>
          <w:p w:rsidR="00F95686" w:rsidRPr="0033747B" w:rsidRDefault="00F95686" w:rsidP="00F95686">
            <w:pPr>
              <w:spacing w:after="0" w:line="240" w:lineRule="auto"/>
              <w:jc w:val="center"/>
              <w:rPr>
                <w:rFonts w:ascii="Times New Roman" w:hAnsi="Times New Roman" w:cs="Times New Roman"/>
                <w:b/>
                <w:noProof/>
                <w:sz w:val="20"/>
                <w:szCs w:val="24"/>
              </w:rPr>
            </w:pPr>
            <w:r w:rsidRPr="0033747B">
              <w:rPr>
                <w:rFonts w:ascii="Times New Roman" w:hAnsi="Times New Roman" w:cs="Times New Roman"/>
                <w:b/>
                <w:noProof/>
                <w:sz w:val="20"/>
                <w:szCs w:val="24"/>
              </w:rPr>
              <w:t>Input</w:t>
            </w:r>
          </w:p>
        </w:tc>
        <w:tc>
          <w:tcPr>
            <w:tcW w:w="4552" w:type="dxa"/>
            <w:gridSpan w:val="2"/>
          </w:tcPr>
          <w:p w:rsidR="00F95686" w:rsidRPr="0033747B" w:rsidRDefault="00F95686" w:rsidP="00F95686">
            <w:pPr>
              <w:spacing w:after="0" w:line="240" w:lineRule="auto"/>
              <w:jc w:val="center"/>
              <w:rPr>
                <w:rFonts w:ascii="Times New Roman" w:hAnsi="Times New Roman" w:cs="Times New Roman"/>
                <w:b/>
                <w:noProof/>
                <w:sz w:val="20"/>
                <w:szCs w:val="24"/>
              </w:rPr>
            </w:pPr>
            <w:r w:rsidRPr="0033747B">
              <w:rPr>
                <w:rFonts w:ascii="Times New Roman" w:hAnsi="Times New Roman" w:cs="Times New Roman"/>
                <w:b/>
                <w:noProof/>
                <w:sz w:val="20"/>
                <w:szCs w:val="24"/>
              </w:rPr>
              <w:t>Output</w:t>
            </w:r>
          </w:p>
        </w:tc>
      </w:tr>
      <w:tr w:rsidR="00F95686" w:rsidRPr="0033747B" w:rsidTr="00F95686">
        <w:tc>
          <w:tcPr>
            <w:tcW w:w="3861" w:type="dxa"/>
          </w:tcPr>
          <w:p w:rsidR="00F95686" w:rsidRPr="0033747B" w:rsidRDefault="00F95686" w:rsidP="00F95686">
            <w:pPr>
              <w:spacing w:after="0" w:line="240" w:lineRule="auto"/>
              <w:ind w:left="284"/>
              <w:jc w:val="both"/>
              <w:rPr>
                <w:rFonts w:ascii="Times New Roman" w:hAnsi="Times New Roman" w:cs="Times New Roman"/>
                <w:sz w:val="20"/>
                <w:szCs w:val="24"/>
              </w:rPr>
            </w:pPr>
            <w:r w:rsidRPr="0033747B">
              <w:rPr>
                <w:rFonts w:ascii="Times New Roman" w:hAnsi="Times New Roman" w:cs="Times New Roman"/>
                <w:sz w:val="20"/>
                <w:szCs w:val="24"/>
              </w:rPr>
              <w:t xml:space="preserve">I1: </w:t>
            </w:r>
            <w:r w:rsidR="003F5218" w:rsidRPr="0033747B">
              <w:rPr>
                <w:rFonts w:ascii="Times New Roman" w:hAnsi="Times New Roman" w:cs="Times New Roman"/>
                <w:sz w:val="20"/>
                <w:szCs w:val="24"/>
              </w:rPr>
              <w:t xml:space="preserve">Cost indice  </w:t>
            </w:r>
          </w:p>
          <w:p w:rsidR="00F95686" w:rsidRPr="0033747B" w:rsidRDefault="00F95686" w:rsidP="00F95686">
            <w:pPr>
              <w:spacing w:after="0" w:line="240" w:lineRule="auto"/>
              <w:ind w:left="284"/>
              <w:jc w:val="both"/>
              <w:rPr>
                <w:rFonts w:ascii="Times New Roman" w:hAnsi="Times New Roman" w:cs="Times New Roman"/>
                <w:sz w:val="20"/>
                <w:szCs w:val="24"/>
              </w:rPr>
            </w:pPr>
            <w:r w:rsidRPr="0033747B">
              <w:rPr>
                <w:rFonts w:ascii="Times New Roman" w:hAnsi="Times New Roman" w:cs="Times New Roman"/>
                <w:sz w:val="20"/>
                <w:szCs w:val="24"/>
              </w:rPr>
              <w:t xml:space="preserve">I2: </w:t>
            </w:r>
            <w:r w:rsidR="003F5218" w:rsidRPr="0033747B">
              <w:rPr>
                <w:rFonts w:ascii="Times New Roman" w:hAnsi="Times New Roman" w:cs="Times New Roman"/>
                <w:sz w:val="20"/>
                <w:szCs w:val="24"/>
              </w:rPr>
              <w:t xml:space="preserve">Risk elements  </w:t>
            </w:r>
            <w:r w:rsidRPr="0033747B">
              <w:rPr>
                <w:rFonts w:ascii="Times New Roman" w:hAnsi="Times New Roman" w:cs="Times New Roman"/>
                <w:sz w:val="20"/>
                <w:szCs w:val="24"/>
              </w:rPr>
              <w:t xml:space="preserve">  </w:t>
            </w:r>
            <m:oMath>
              <m:sSup>
                <m:sSupPr>
                  <m:ctrlPr>
                    <w:rPr>
                      <w:rFonts w:ascii="Cambria Math" w:hAnsi="Cambria Math" w:cs="Times New Roman"/>
                      <w:i/>
                      <w:sz w:val="20"/>
                      <w:szCs w:val="24"/>
                    </w:rPr>
                  </m:ctrlPr>
                </m:sSupPr>
                <m:e>
                  <m:r>
                    <w:rPr>
                      <w:rFonts w:ascii="Cambria Math" w:hAnsi="Cambria Math" w:cs="Times New Roman"/>
                      <w:sz w:val="20"/>
                      <w:szCs w:val="24"/>
                    </w:rPr>
                    <m:t>σ</m:t>
                  </m:r>
                </m:e>
                <m:sup>
                  <m:r>
                    <w:rPr>
                      <w:rFonts w:ascii="Cambria Math" w:hAnsi="Cambria Math" w:cs="Times New Roman"/>
                      <w:sz w:val="20"/>
                      <w:szCs w:val="24"/>
                    </w:rPr>
                    <m:t>2</m:t>
                  </m:r>
                </m:sup>
              </m:sSup>
            </m:oMath>
          </w:p>
          <w:p w:rsidR="00F95686" w:rsidRPr="0033747B" w:rsidRDefault="00F95686" w:rsidP="00F95686">
            <w:pPr>
              <w:spacing w:after="0" w:line="240" w:lineRule="auto"/>
              <w:ind w:left="284"/>
              <w:jc w:val="both"/>
              <w:rPr>
                <w:rFonts w:ascii="Times New Roman" w:hAnsi="Times New Roman" w:cs="Times New Roman"/>
                <w:sz w:val="20"/>
                <w:szCs w:val="24"/>
              </w:rPr>
            </w:pPr>
            <w:r w:rsidRPr="0033747B">
              <w:rPr>
                <w:rFonts w:ascii="Times New Roman" w:hAnsi="Times New Roman" w:cs="Times New Roman"/>
                <w:sz w:val="20"/>
                <w:szCs w:val="24"/>
              </w:rPr>
              <w:t xml:space="preserve">I3: </w:t>
            </w:r>
            <w:r w:rsidR="003F5218" w:rsidRPr="0033747B">
              <w:rPr>
                <w:rFonts w:ascii="Times New Roman" w:hAnsi="Times New Roman" w:cs="Times New Roman"/>
                <w:sz w:val="20"/>
                <w:szCs w:val="24"/>
              </w:rPr>
              <w:t>Size measures</w:t>
            </w:r>
            <w:r w:rsidRPr="0033747B">
              <w:rPr>
                <w:rFonts w:ascii="Times New Roman" w:hAnsi="Times New Roman" w:cs="Times New Roman"/>
                <w:sz w:val="20"/>
                <w:szCs w:val="24"/>
              </w:rPr>
              <w:t xml:space="preserve">: </w:t>
            </w:r>
            <w:r w:rsidR="003F5218" w:rsidRPr="0033747B">
              <w:rPr>
                <w:rFonts w:ascii="Times New Roman" w:hAnsi="Times New Roman" w:cs="Times New Roman"/>
                <w:i/>
                <w:sz w:val="20"/>
                <w:szCs w:val="24"/>
              </w:rPr>
              <w:t>market share</w:t>
            </w:r>
            <w:r w:rsidRPr="0033747B">
              <w:rPr>
                <w:rFonts w:ascii="Times New Roman" w:hAnsi="Times New Roman" w:cs="Times New Roman"/>
                <w:i/>
                <w:sz w:val="20"/>
                <w:szCs w:val="24"/>
              </w:rPr>
              <w:t xml:space="preserve">, </w:t>
            </w:r>
            <w:r w:rsidR="003F5218" w:rsidRPr="0033747B">
              <w:rPr>
                <w:rFonts w:ascii="Times New Roman" w:hAnsi="Times New Roman" w:cs="Times New Roman"/>
                <w:i/>
                <w:sz w:val="20"/>
                <w:szCs w:val="24"/>
              </w:rPr>
              <w:t xml:space="preserve">lnNAV, </w:t>
            </w:r>
            <w:r w:rsidR="003F5218" w:rsidRPr="0033747B">
              <w:rPr>
                <w:rFonts w:ascii="Calibri" w:hAnsi="Calibri" w:cs="Calibri"/>
                <w:i/>
                <w:sz w:val="20"/>
                <w:szCs w:val="24"/>
              </w:rPr>
              <w:t>∆</w:t>
            </w:r>
            <w:r w:rsidR="003F5218" w:rsidRPr="0033747B">
              <w:rPr>
                <w:rFonts w:ascii="Times New Roman" w:hAnsi="Times New Roman" w:cs="Times New Roman"/>
                <w:i/>
                <w:sz w:val="20"/>
                <w:szCs w:val="24"/>
              </w:rPr>
              <w:t>%NAV</w:t>
            </w:r>
          </w:p>
        </w:tc>
        <w:tc>
          <w:tcPr>
            <w:tcW w:w="1608" w:type="dxa"/>
            <w:gridSpan w:val="2"/>
          </w:tcPr>
          <w:p w:rsidR="00F95686" w:rsidRPr="0033747B" w:rsidRDefault="004B4616" w:rsidP="00F95686">
            <w:pPr>
              <w:spacing w:after="0" w:line="240" w:lineRule="auto"/>
              <w:jc w:val="center"/>
              <w:rPr>
                <w:rFonts w:ascii="Times New Roman" w:hAnsi="Times New Roman" w:cs="Times New Roman"/>
                <w:noProof/>
                <w:sz w:val="20"/>
                <w:szCs w:val="24"/>
              </w:rPr>
            </w:pPr>
            <w:r w:rsidRPr="0033747B">
              <w:rPr>
                <w:rFonts w:ascii="Times New Roman" w:hAnsi="Times New Roman" w:cs="Times New Roman"/>
                <w:noProof/>
                <w:sz w:val="20"/>
                <w:szCs w:val="24"/>
              </w:rPr>
              <w:pict>
                <v:shape id="_x0000_s1028" type="#_x0000_t69" style="position:absolute;left:0;text-align:left;margin-left:24.45pt;margin-top:7.8pt;width:36.75pt;height:10.5pt;z-index:251662336;mso-position-horizontal-relative:text;mso-position-vertical-relative:text"/>
              </w:pict>
            </w:r>
          </w:p>
        </w:tc>
        <w:tc>
          <w:tcPr>
            <w:tcW w:w="3774" w:type="dxa"/>
          </w:tcPr>
          <w:p w:rsidR="00F95686" w:rsidRPr="0033747B" w:rsidRDefault="00F95686" w:rsidP="00F95686">
            <w:pPr>
              <w:spacing w:after="0" w:line="240" w:lineRule="auto"/>
              <w:jc w:val="both"/>
              <w:rPr>
                <w:rFonts w:ascii="Times New Roman" w:hAnsi="Times New Roman" w:cs="Times New Roman"/>
                <w:sz w:val="20"/>
                <w:szCs w:val="24"/>
              </w:rPr>
            </w:pPr>
            <w:r w:rsidRPr="0033747B">
              <w:rPr>
                <w:rFonts w:ascii="Times New Roman" w:hAnsi="Times New Roman" w:cs="Times New Roman"/>
                <w:sz w:val="20"/>
                <w:szCs w:val="24"/>
              </w:rPr>
              <w:t xml:space="preserve">   O1: </w:t>
            </w:r>
            <w:r w:rsidR="004A1362" w:rsidRPr="0033747B">
              <w:rPr>
                <w:rFonts w:ascii="Times New Roman" w:hAnsi="Times New Roman" w:cs="Times New Roman"/>
                <w:sz w:val="20"/>
                <w:szCs w:val="24"/>
              </w:rPr>
              <w:t>Risk-adjusted performance measured through</w:t>
            </w:r>
            <w:r w:rsidRPr="0033747B">
              <w:rPr>
                <w:rFonts w:ascii="Times New Roman" w:hAnsi="Times New Roman" w:cs="Times New Roman"/>
                <w:sz w:val="20"/>
                <w:szCs w:val="24"/>
              </w:rPr>
              <w:t xml:space="preserve"> Sharpe </w:t>
            </w:r>
            <w:r w:rsidR="004A1362" w:rsidRPr="0033747B">
              <w:rPr>
                <w:rFonts w:ascii="Times New Roman" w:hAnsi="Times New Roman" w:cs="Times New Roman"/>
                <w:sz w:val="20"/>
                <w:szCs w:val="24"/>
              </w:rPr>
              <w:t>rate</w:t>
            </w:r>
          </w:p>
          <w:p w:rsidR="00F95686" w:rsidRPr="0033747B" w:rsidRDefault="00F95686" w:rsidP="00F95686">
            <w:pPr>
              <w:spacing w:after="0" w:line="240" w:lineRule="auto"/>
              <w:jc w:val="center"/>
              <w:rPr>
                <w:rFonts w:ascii="Times New Roman" w:hAnsi="Times New Roman" w:cs="Times New Roman"/>
                <w:noProof/>
                <w:sz w:val="20"/>
                <w:szCs w:val="24"/>
              </w:rPr>
            </w:pPr>
          </w:p>
        </w:tc>
      </w:tr>
    </w:tbl>
    <w:p w:rsidR="00F95686" w:rsidRPr="008F00C9" w:rsidRDefault="003E6124" w:rsidP="00F95686">
      <w:pPr>
        <w:spacing w:line="240" w:lineRule="auto"/>
        <w:jc w:val="center"/>
      </w:pPr>
      <w:r>
        <w:rPr>
          <w:rFonts w:ascii="Times New Roman" w:hAnsi="Times New Roman" w:cs="Times New Roman"/>
          <w:sz w:val="24"/>
          <w:szCs w:val="24"/>
        </w:rPr>
        <w:t>Source</w:t>
      </w:r>
      <w:r w:rsidR="00F95686" w:rsidRPr="008F00C9">
        <w:rPr>
          <w:rFonts w:ascii="Times New Roman" w:hAnsi="Times New Roman" w:cs="Times New Roman"/>
          <w:sz w:val="24"/>
          <w:szCs w:val="24"/>
        </w:rPr>
        <w:t xml:space="preserve">: </w:t>
      </w:r>
      <w:r>
        <w:rPr>
          <w:rFonts w:ascii="Times New Roman" w:hAnsi="Times New Roman" w:cs="Times New Roman"/>
          <w:sz w:val="24"/>
          <w:szCs w:val="24"/>
        </w:rPr>
        <w:t>author’s own processing</w:t>
      </w:r>
    </w:p>
    <w:p w:rsidR="00680196" w:rsidRPr="00680196" w:rsidRDefault="00680196" w:rsidP="0068019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By a</w:t>
      </w:r>
      <w:r w:rsidRPr="00680196">
        <w:rPr>
          <w:rFonts w:ascii="Times New Roman" w:hAnsi="Times New Roman" w:cs="Times New Roman"/>
          <w:sz w:val="24"/>
          <w:szCs w:val="24"/>
        </w:rPr>
        <w:t xml:space="preserve">nalyzing </w:t>
      </w:r>
      <w:r>
        <w:rPr>
          <w:rFonts w:ascii="Times New Roman" w:hAnsi="Times New Roman" w:cs="Times New Roman"/>
          <w:sz w:val="24"/>
          <w:szCs w:val="24"/>
        </w:rPr>
        <w:t xml:space="preserve">the </w:t>
      </w:r>
      <w:r w:rsidRPr="00680196">
        <w:rPr>
          <w:rFonts w:ascii="Times New Roman" w:hAnsi="Times New Roman" w:cs="Times New Roman"/>
          <w:sz w:val="24"/>
          <w:szCs w:val="24"/>
        </w:rPr>
        <w:t xml:space="preserve">correlation matrix </w:t>
      </w:r>
      <w:r>
        <w:rPr>
          <w:rFonts w:ascii="Times New Roman" w:hAnsi="Times New Roman" w:cs="Times New Roman"/>
          <w:sz w:val="24"/>
          <w:szCs w:val="24"/>
        </w:rPr>
        <w:t>of the risk and cost indicators</w:t>
      </w:r>
      <w:r w:rsidRPr="00680196">
        <w:rPr>
          <w:rFonts w:ascii="Times New Roman" w:hAnsi="Times New Roman" w:cs="Times New Roman"/>
          <w:sz w:val="24"/>
          <w:szCs w:val="24"/>
        </w:rPr>
        <w:t xml:space="preserve">, we found that there is a strong correlation between them which favors </w:t>
      </w:r>
      <w:r>
        <w:rPr>
          <w:rFonts w:ascii="Times New Roman" w:hAnsi="Times New Roman" w:cs="Times New Roman"/>
          <w:sz w:val="24"/>
          <w:szCs w:val="24"/>
        </w:rPr>
        <w:t xml:space="preserve">the </w:t>
      </w:r>
      <w:r w:rsidRPr="00680196">
        <w:rPr>
          <w:rFonts w:ascii="Times New Roman" w:hAnsi="Times New Roman" w:cs="Times New Roman"/>
          <w:sz w:val="24"/>
          <w:szCs w:val="24"/>
        </w:rPr>
        <w:t xml:space="preserve">construction evaluation model </w:t>
      </w:r>
      <w:r>
        <w:rPr>
          <w:rFonts w:ascii="Times New Roman" w:hAnsi="Times New Roman" w:cs="Times New Roman"/>
          <w:sz w:val="24"/>
          <w:szCs w:val="24"/>
        </w:rPr>
        <w:t>taking into account</w:t>
      </w:r>
      <w:r w:rsidRPr="00680196">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680196">
        <w:rPr>
          <w:rFonts w:ascii="Times New Roman" w:hAnsi="Times New Roman" w:cs="Times New Roman"/>
          <w:sz w:val="24"/>
          <w:szCs w:val="24"/>
        </w:rPr>
        <w:t xml:space="preserve">4 indexes structure </w:t>
      </w:r>
      <w:r>
        <w:rPr>
          <w:rFonts w:ascii="Times New Roman" w:hAnsi="Times New Roman" w:cs="Times New Roman"/>
          <w:sz w:val="24"/>
          <w:szCs w:val="24"/>
        </w:rPr>
        <w:t xml:space="preserve">based on </w:t>
      </w:r>
      <w:r w:rsidRPr="00680196">
        <w:rPr>
          <w:rFonts w:ascii="Times New Roman" w:hAnsi="Times New Roman" w:cs="Times New Roman"/>
          <w:sz w:val="24"/>
          <w:szCs w:val="24"/>
        </w:rPr>
        <w:t>three inputs and one output.</w:t>
      </w:r>
    </w:p>
    <w:p w:rsidR="00680196" w:rsidRPr="00680196" w:rsidRDefault="00680196" w:rsidP="0068019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To establish a common evaluation score, </w:t>
      </w:r>
      <w:r w:rsidRPr="00680196">
        <w:rPr>
          <w:rFonts w:ascii="Times New Roman" w:hAnsi="Times New Roman" w:cs="Times New Roman"/>
          <w:sz w:val="24"/>
          <w:szCs w:val="24"/>
        </w:rPr>
        <w:t xml:space="preserve">we proceeded to use </w:t>
      </w:r>
      <w:r>
        <w:rPr>
          <w:rFonts w:ascii="Times New Roman" w:hAnsi="Times New Roman" w:cs="Times New Roman"/>
          <w:sz w:val="24"/>
          <w:szCs w:val="24"/>
        </w:rPr>
        <w:t>a</w:t>
      </w:r>
      <w:r w:rsidRPr="00680196">
        <w:rPr>
          <w:rFonts w:ascii="Times New Roman" w:hAnsi="Times New Roman" w:cs="Times New Roman"/>
          <w:sz w:val="24"/>
          <w:szCs w:val="24"/>
        </w:rPr>
        <w:t xml:space="preserve"> </w:t>
      </w:r>
      <w:r>
        <w:rPr>
          <w:rFonts w:ascii="Times New Roman" w:hAnsi="Times New Roman" w:cs="Times New Roman"/>
          <w:sz w:val="24"/>
          <w:szCs w:val="24"/>
        </w:rPr>
        <w:t>measurement scale in order to define the</w:t>
      </w:r>
      <w:r w:rsidRPr="00680196">
        <w:rPr>
          <w:rFonts w:ascii="Times New Roman" w:hAnsi="Times New Roman" w:cs="Times New Roman"/>
          <w:sz w:val="24"/>
          <w:szCs w:val="24"/>
        </w:rPr>
        <w:t xml:space="preserve"> effectiveness</w:t>
      </w:r>
      <w:r>
        <w:rPr>
          <w:rFonts w:ascii="Times New Roman" w:hAnsi="Times New Roman" w:cs="Times New Roman"/>
          <w:sz w:val="24"/>
          <w:szCs w:val="24"/>
        </w:rPr>
        <w:t xml:space="preserve"> (Table 5.3.)</w:t>
      </w:r>
      <w:r w:rsidRPr="00680196">
        <w:rPr>
          <w:rFonts w:ascii="Times New Roman" w:hAnsi="Times New Roman" w:cs="Times New Roman"/>
          <w:sz w:val="24"/>
          <w:szCs w:val="24"/>
        </w:rPr>
        <w:t>:</w:t>
      </w:r>
    </w:p>
    <w:p w:rsidR="00FF39D0" w:rsidRDefault="00F95686" w:rsidP="00FF39D0">
      <w:pPr>
        <w:pStyle w:val="Caption"/>
        <w:spacing w:before="0" w:beforeAutospacing="0" w:after="0" w:afterAutospacing="0"/>
        <w:jc w:val="center"/>
        <w:rPr>
          <w:b/>
        </w:rPr>
      </w:pPr>
      <w:bookmarkStart w:id="34" w:name="_Toc449385172"/>
      <w:r w:rsidRPr="008F00C9">
        <w:rPr>
          <w:b/>
        </w:rPr>
        <w:t>T</w:t>
      </w:r>
      <w:r w:rsidR="00954A28">
        <w:rPr>
          <w:b/>
        </w:rPr>
        <w:t xml:space="preserve">able </w:t>
      </w:r>
      <w:r w:rsidRPr="008F00C9">
        <w:rPr>
          <w:b/>
        </w:rPr>
        <w:t xml:space="preserve">5. </w:t>
      </w:r>
      <w:r w:rsidR="004B4616" w:rsidRPr="008F00C9">
        <w:rPr>
          <w:b/>
        </w:rPr>
        <w:fldChar w:fldCharType="begin"/>
      </w:r>
      <w:r w:rsidRPr="008F00C9">
        <w:rPr>
          <w:b/>
        </w:rPr>
        <w:instrText xml:space="preserve"> SEQ Tabel_5. \* ARABIC </w:instrText>
      </w:r>
      <w:r w:rsidR="004B4616" w:rsidRPr="008F00C9">
        <w:rPr>
          <w:b/>
        </w:rPr>
        <w:fldChar w:fldCharType="separate"/>
      </w:r>
      <w:r w:rsidR="00695698" w:rsidRPr="008F00C9">
        <w:rPr>
          <w:b/>
          <w:noProof/>
        </w:rPr>
        <w:t>3</w:t>
      </w:r>
      <w:r w:rsidR="004B4616" w:rsidRPr="008F00C9">
        <w:rPr>
          <w:b/>
        </w:rPr>
        <w:fldChar w:fldCharType="end"/>
      </w:r>
      <w:r w:rsidRPr="008F00C9">
        <w:rPr>
          <w:b/>
        </w:rPr>
        <w:t xml:space="preserve"> </w:t>
      </w:r>
      <w:bookmarkEnd w:id="34"/>
      <w:r w:rsidR="00954A28">
        <w:rPr>
          <w:b/>
        </w:rPr>
        <w:t xml:space="preserve">Efficiency scale </w:t>
      </w:r>
    </w:p>
    <w:tbl>
      <w:tblPr>
        <w:tblW w:w="0" w:type="auto"/>
        <w:tblLook w:val="04A0"/>
      </w:tblPr>
      <w:tblGrid>
        <w:gridCol w:w="3327"/>
        <w:gridCol w:w="3264"/>
        <w:gridCol w:w="2985"/>
      </w:tblGrid>
      <w:tr w:rsidR="00F95686" w:rsidRPr="0033747B" w:rsidTr="00F95686">
        <w:tc>
          <w:tcPr>
            <w:tcW w:w="3327" w:type="dxa"/>
            <w:shd w:val="clear" w:color="auto" w:fill="auto"/>
          </w:tcPr>
          <w:p w:rsidR="00F95686" w:rsidRPr="0033747B" w:rsidRDefault="00954A28" w:rsidP="00954A28">
            <w:pPr>
              <w:spacing w:after="0" w:line="240" w:lineRule="auto"/>
              <w:jc w:val="center"/>
              <w:rPr>
                <w:rFonts w:ascii="Times New Roman" w:hAnsi="Times New Roman" w:cs="Times New Roman"/>
                <w:b/>
                <w:color w:val="171717"/>
                <w:sz w:val="18"/>
                <w:szCs w:val="24"/>
              </w:rPr>
            </w:pPr>
            <w:r w:rsidRPr="0033747B">
              <w:rPr>
                <w:rFonts w:ascii="Times New Roman" w:hAnsi="Times New Roman" w:cs="Times New Roman"/>
                <w:b/>
                <w:color w:val="171717"/>
                <w:sz w:val="18"/>
                <w:szCs w:val="24"/>
              </w:rPr>
              <w:t>Calculated scores</w:t>
            </w:r>
          </w:p>
        </w:tc>
        <w:tc>
          <w:tcPr>
            <w:tcW w:w="3264" w:type="dxa"/>
            <w:shd w:val="clear" w:color="auto" w:fill="auto"/>
          </w:tcPr>
          <w:p w:rsidR="00F95686" w:rsidRPr="0033747B" w:rsidRDefault="00954A28" w:rsidP="00954A28">
            <w:pPr>
              <w:spacing w:after="0" w:line="240" w:lineRule="auto"/>
              <w:jc w:val="center"/>
              <w:rPr>
                <w:rFonts w:ascii="Times New Roman" w:hAnsi="Times New Roman" w:cs="Times New Roman"/>
                <w:b/>
                <w:color w:val="171717"/>
                <w:sz w:val="18"/>
                <w:szCs w:val="24"/>
              </w:rPr>
            </w:pPr>
            <w:r w:rsidRPr="0033747B">
              <w:rPr>
                <w:rFonts w:ascii="Times New Roman" w:hAnsi="Times New Roman" w:cs="Times New Roman"/>
                <w:b/>
                <w:color w:val="171717"/>
                <w:sz w:val="18"/>
                <w:szCs w:val="24"/>
              </w:rPr>
              <w:t>Evaluation</w:t>
            </w:r>
          </w:p>
        </w:tc>
        <w:tc>
          <w:tcPr>
            <w:tcW w:w="2985" w:type="dxa"/>
            <w:shd w:val="clear" w:color="auto" w:fill="auto"/>
          </w:tcPr>
          <w:p w:rsidR="00F95686" w:rsidRPr="0033747B" w:rsidRDefault="00F95686" w:rsidP="00954A28">
            <w:pPr>
              <w:spacing w:after="0" w:line="240" w:lineRule="auto"/>
              <w:jc w:val="center"/>
              <w:rPr>
                <w:rFonts w:ascii="Times New Roman" w:hAnsi="Times New Roman" w:cs="Times New Roman"/>
                <w:b/>
                <w:color w:val="171717"/>
                <w:sz w:val="18"/>
                <w:szCs w:val="24"/>
              </w:rPr>
            </w:pPr>
            <w:r w:rsidRPr="0033747B">
              <w:rPr>
                <w:rFonts w:ascii="Times New Roman" w:hAnsi="Times New Roman" w:cs="Times New Roman"/>
                <w:b/>
                <w:color w:val="171717"/>
                <w:sz w:val="18"/>
                <w:szCs w:val="24"/>
              </w:rPr>
              <w:t>S</w:t>
            </w:r>
            <w:r w:rsidR="00954A28" w:rsidRPr="0033747B">
              <w:rPr>
                <w:rFonts w:ascii="Times New Roman" w:hAnsi="Times New Roman" w:cs="Times New Roman"/>
                <w:b/>
                <w:color w:val="171717"/>
                <w:sz w:val="18"/>
                <w:szCs w:val="24"/>
              </w:rPr>
              <w:t>ymbol</w:t>
            </w:r>
          </w:p>
        </w:tc>
      </w:tr>
      <w:tr w:rsidR="00F95686" w:rsidRPr="0033747B" w:rsidTr="00F95686">
        <w:tc>
          <w:tcPr>
            <w:tcW w:w="3327" w:type="dxa"/>
            <w:shd w:val="clear" w:color="auto" w:fill="auto"/>
          </w:tcPr>
          <w:p w:rsidR="00F95686" w:rsidRPr="0033747B" w:rsidRDefault="00F95686" w:rsidP="00F95686">
            <w:pPr>
              <w:spacing w:after="0" w:line="240" w:lineRule="auto"/>
              <w:jc w:val="center"/>
              <w:rPr>
                <w:rFonts w:ascii="Times New Roman" w:hAnsi="Times New Roman" w:cs="Times New Roman"/>
                <w:color w:val="171717"/>
                <w:sz w:val="18"/>
                <w:szCs w:val="24"/>
              </w:rPr>
            </w:pPr>
            <w:r w:rsidRPr="0033747B">
              <w:rPr>
                <w:rFonts w:ascii="Times New Roman" w:hAnsi="Times New Roman" w:cs="Times New Roman"/>
                <w:color w:val="171717"/>
                <w:sz w:val="18"/>
                <w:szCs w:val="24"/>
              </w:rPr>
              <w:t>SE ≥ 80%</w:t>
            </w:r>
          </w:p>
        </w:tc>
        <w:tc>
          <w:tcPr>
            <w:tcW w:w="3264" w:type="dxa"/>
            <w:shd w:val="clear" w:color="auto" w:fill="auto"/>
          </w:tcPr>
          <w:p w:rsidR="00F95686" w:rsidRPr="0033747B" w:rsidRDefault="00822003" w:rsidP="00F95686">
            <w:pPr>
              <w:spacing w:after="0" w:line="240" w:lineRule="auto"/>
              <w:jc w:val="both"/>
              <w:rPr>
                <w:rFonts w:ascii="Times New Roman" w:hAnsi="Times New Roman" w:cs="Times New Roman"/>
                <w:color w:val="171717"/>
                <w:sz w:val="18"/>
                <w:szCs w:val="24"/>
              </w:rPr>
            </w:pPr>
            <w:r w:rsidRPr="0033747B">
              <w:rPr>
                <w:rFonts w:ascii="Times New Roman" w:hAnsi="Times New Roman" w:cs="Times New Roman"/>
                <w:color w:val="171717"/>
                <w:sz w:val="18"/>
                <w:szCs w:val="24"/>
              </w:rPr>
              <w:t>High efficiency</w:t>
            </w:r>
          </w:p>
        </w:tc>
        <w:tc>
          <w:tcPr>
            <w:tcW w:w="2985" w:type="dxa"/>
            <w:shd w:val="clear" w:color="auto" w:fill="auto"/>
          </w:tcPr>
          <w:p w:rsidR="00F95686" w:rsidRPr="0033747B" w:rsidRDefault="00F95686" w:rsidP="00954A28">
            <w:pPr>
              <w:spacing w:after="0" w:line="240" w:lineRule="auto"/>
              <w:jc w:val="center"/>
              <w:rPr>
                <w:rFonts w:ascii="Times New Roman" w:hAnsi="Times New Roman" w:cs="Times New Roman"/>
                <w:color w:val="171717"/>
                <w:sz w:val="18"/>
                <w:szCs w:val="24"/>
              </w:rPr>
            </w:pPr>
            <w:r w:rsidRPr="0033747B">
              <w:rPr>
                <w:rFonts w:ascii="Times New Roman" w:hAnsi="Times New Roman" w:cs="Times New Roman"/>
                <w:sz w:val="18"/>
                <w:szCs w:val="24"/>
              </w:rPr>
              <w:object w:dxaOrig="300"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2.5pt" o:ole="">
                  <v:imagedata r:id="rId46" o:title=""/>
                </v:shape>
                <o:OLEObject Type="Embed" ProgID="PBrush" ShapeID="_x0000_i1025" DrawAspect="Content" ObjectID="_1526154440" r:id="rId47"/>
              </w:object>
            </w:r>
          </w:p>
        </w:tc>
      </w:tr>
      <w:tr w:rsidR="00F95686" w:rsidRPr="0033747B" w:rsidTr="00F95686">
        <w:tc>
          <w:tcPr>
            <w:tcW w:w="3327" w:type="dxa"/>
            <w:shd w:val="clear" w:color="auto" w:fill="auto"/>
          </w:tcPr>
          <w:p w:rsidR="00F95686" w:rsidRPr="0033747B" w:rsidRDefault="00F95686" w:rsidP="00F95686">
            <w:pPr>
              <w:spacing w:after="0" w:line="240" w:lineRule="auto"/>
              <w:jc w:val="center"/>
              <w:rPr>
                <w:rFonts w:ascii="Times New Roman" w:hAnsi="Times New Roman" w:cs="Times New Roman"/>
                <w:color w:val="171717"/>
                <w:sz w:val="18"/>
                <w:szCs w:val="24"/>
              </w:rPr>
            </w:pPr>
            <w:r w:rsidRPr="0033747B">
              <w:rPr>
                <w:rFonts w:ascii="Times New Roman" w:hAnsi="Times New Roman" w:cs="Times New Roman"/>
                <w:color w:val="171717"/>
                <w:sz w:val="18"/>
                <w:szCs w:val="24"/>
              </w:rPr>
              <w:t>80% ≥ SE ≥ 50%</w:t>
            </w:r>
          </w:p>
        </w:tc>
        <w:tc>
          <w:tcPr>
            <w:tcW w:w="3264" w:type="dxa"/>
            <w:shd w:val="clear" w:color="auto" w:fill="auto"/>
          </w:tcPr>
          <w:p w:rsidR="00F95686" w:rsidRPr="0033747B" w:rsidRDefault="00822003" w:rsidP="00F95686">
            <w:pPr>
              <w:spacing w:after="0" w:line="240" w:lineRule="auto"/>
              <w:jc w:val="both"/>
              <w:rPr>
                <w:rFonts w:ascii="Times New Roman" w:hAnsi="Times New Roman" w:cs="Times New Roman"/>
                <w:color w:val="171717"/>
                <w:sz w:val="18"/>
                <w:szCs w:val="24"/>
              </w:rPr>
            </w:pPr>
            <w:r w:rsidRPr="0033747B">
              <w:rPr>
                <w:rFonts w:ascii="Times New Roman" w:hAnsi="Times New Roman" w:cs="Times New Roman"/>
                <w:color w:val="171717"/>
                <w:sz w:val="18"/>
                <w:szCs w:val="24"/>
              </w:rPr>
              <w:t>Above average efficiency</w:t>
            </w:r>
          </w:p>
        </w:tc>
        <w:tc>
          <w:tcPr>
            <w:tcW w:w="2985" w:type="dxa"/>
            <w:shd w:val="clear" w:color="auto" w:fill="auto"/>
          </w:tcPr>
          <w:p w:rsidR="00F95686" w:rsidRPr="0033747B" w:rsidRDefault="00F95686" w:rsidP="00954A28">
            <w:pPr>
              <w:spacing w:after="0" w:line="240" w:lineRule="auto"/>
              <w:jc w:val="center"/>
              <w:rPr>
                <w:rFonts w:ascii="Times New Roman" w:hAnsi="Times New Roman" w:cs="Times New Roman"/>
                <w:color w:val="171717"/>
                <w:sz w:val="18"/>
                <w:szCs w:val="24"/>
              </w:rPr>
            </w:pPr>
            <w:r w:rsidRPr="0033747B">
              <w:rPr>
                <w:rFonts w:ascii="Times New Roman" w:hAnsi="Times New Roman" w:cs="Times New Roman"/>
                <w:noProof/>
                <w:color w:val="171717"/>
                <w:sz w:val="18"/>
                <w:szCs w:val="24"/>
              </w:rPr>
              <w:drawing>
                <wp:inline distT="0" distB="0" distL="0" distR="0">
                  <wp:extent cx="145997" cy="145997"/>
                  <wp:effectExtent l="19050" t="0" r="6403" b="0"/>
                  <wp:docPr id="167" name="Picture 21" descr="C:\Users\Ioana_Florin\AppData\Local\Microsoft\Windows\Temporary Internet Files\Content.IE5\CQW8PB81\attention-icon-2332-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Ioana_Florin\AppData\Local\Microsoft\Windows\Temporary Internet Files\Content.IE5\CQW8PB81\attention-icon-2332-large[1].png"/>
                          <pic:cNvPicPr>
                            <a:picLocks noChangeAspect="1" noChangeArrowheads="1"/>
                          </pic:cNvPicPr>
                        </pic:nvPicPr>
                        <pic:blipFill>
                          <a:blip r:embed="rId4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F95686" w:rsidRPr="0033747B" w:rsidTr="00F95686">
        <w:tc>
          <w:tcPr>
            <w:tcW w:w="3327" w:type="dxa"/>
            <w:tcBorders>
              <w:bottom w:val="single" w:sz="4" w:space="0" w:color="000000" w:themeColor="text1"/>
            </w:tcBorders>
            <w:shd w:val="clear" w:color="auto" w:fill="auto"/>
          </w:tcPr>
          <w:p w:rsidR="00F95686" w:rsidRPr="0033747B" w:rsidRDefault="00F95686" w:rsidP="00F95686">
            <w:pPr>
              <w:spacing w:after="0" w:line="240" w:lineRule="auto"/>
              <w:jc w:val="center"/>
              <w:rPr>
                <w:rFonts w:ascii="Times New Roman" w:hAnsi="Times New Roman" w:cs="Times New Roman"/>
                <w:color w:val="171717"/>
                <w:sz w:val="18"/>
                <w:szCs w:val="24"/>
              </w:rPr>
            </w:pPr>
            <w:r w:rsidRPr="0033747B">
              <w:rPr>
                <w:rFonts w:ascii="Times New Roman" w:hAnsi="Times New Roman" w:cs="Times New Roman"/>
                <w:color w:val="171717"/>
                <w:sz w:val="18"/>
                <w:szCs w:val="24"/>
              </w:rPr>
              <w:t>SE ≤ 50%</w:t>
            </w:r>
          </w:p>
        </w:tc>
        <w:tc>
          <w:tcPr>
            <w:tcW w:w="3264" w:type="dxa"/>
            <w:tcBorders>
              <w:bottom w:val="single" w:sz="4" w:space="0" w:color="000000" w:themeColor="text1"/>
            </w:tcBorders>
            <w:shd w:val="clear" w:color="auto" w:fill="auto"/>
          </w:tcPr>
          <w:p w:rsidR="00F95686" w:rsidRPr="0033747B" w:rsidRDefault="00822003" w:rsidP="00F95686">
            <w:pPr>
              <w:spacing w:after="0" w:line="240" w:lineRule="auto"/>
              <w:jc w:val="both"/>
              <w:rPr>
                <w:rFonts w:ascii="Times New Roman" w:hAnsi="Times New Roman" w:cs="Times New Roman"/>
                <w:color w:val="171717"/>
                <w:sz w:val="18"/>
                <w:szCs w:val="24"/>
              </w:rPr>
            </w:pPr>
            <w:r w:rsidRPr="0033747B">
              <w:rPr>
                <w:rFonts w:ascii="Times New Roman" w:hAnsi="Times New Roman" w:cs="Times New Roman"/>
                <w:color w:val="171717"/>
                <w:sz w:val="18"/>
                <w:szCs w:val="24"/>
              </w:rPr>
              <w:t>Poor efficiency</w:t>
            </w:r>
          </w:p>
        </w:tc>
        <w:tc>
          <w:tcPr>
            <w:tcW w:w="2985" w:type="dxa"/>
            <w:tcBorders>
              <w:bottom w:val="single" w:sz="4" w:space="0" w:color="000000" w:themeColor="text1"/>
            </w:tcBorders>
            <w:shd w:val="clear" w:color="auto" w:fill="auto"/>
          </w:tcPr>
          <w:p w:rsidR="00F95686" w:rsidRPr="0033747B" w:rsidRDefault="00F95686" w:rsidP="00954A28">
            <w:pPr>
              <w:spacing w:after="0" w:line="240" w:lineRule="auto"/>
              <w:jc w:val="center"/>
              <w:rPr>
                <w:rFonts w:ascii="Times New Roman" w:hAnsi="Times New Roman" w:cs="Times New Roman"/>
                <w:color w:val="171717"/>
                <w:sz w:val="18"/>
                <w:szCs w:val="24"/>
              </w:rPr>
            </w:pPr>
            <w:r w:rsidRPr="0033747B">
              <w:rPr>
                <w:rFonts w:ascii="Times New Roman" w:hAnsi="Times New Roman" w:cs="Times New Roman"/>
                <w:sz w:val="18"/>
                <w:szCs w:val="24"/>
              </w:rPr>
              <w:object w:dxaOrig="315" w:dyaOrig="390">
                <v:shape id="_x0000_i1026" type="#_x0000_t75" style="width:15.65pt;height:19.3pt" o:ole="">
                  <v:imagedata r:id="rId49" o:title=""/>
                </v:shape>
                <o:OLEObject Type="Embed" ProgID="PBrush" ShapeID="_x0000_i1026" DrawAspect="Content" ObjectID="_1526154441" r:id="rId50"/>
              </w:object>
            </w:r>
          </w:p>
        </w:tc>
      </w:tr>
      <w:tr w:rsidR="00F95686" w:rsidRPr="0033747B" w:rsidTr="00F95686">
        <w:tc>
          <w:tcPr>
            <w:tcW w:w="9576" w:type="dxa"/>
            <w:gridSpan w:val="3"/>
            <w:tcBorders>
              <w:left w:val="nil"/>
              <w:bottom w:val="nil"/>
              <w:right w:val="nil"/>
            </w:tcBorders>
            <w:shd w:val="clear" w:color="auto" w:fill="auto"/>
          </w:tcPr>
          <w:p w:rsidR="00F95686" w:rsidRPr="0033747B" w:rsidRDefault="00954A28" w:rsidP="00954A28">
            <w:pPr>
              <w:spacing w:after="0" w:line="240" w:lineRule="auto"/>
              <w:jc w:val="center"/>
              <w:rPr>
                <w:rFonts w:ascii="Times New Roman" w:hAnsi="Times New Roman" w:cs="Times New Roman"/>
                <w:sz w:val="18"/>
                <w:szCs w:val="24"/>
              </w:rPr>
            </w:pPr>
            <w:r w:rsidRPr="0033747B">
              <w:rPr>
                <w:rFonts w:ascii="Times New Roman" w:hAnsi="Times New Roman" w:cs="Times New Roman"/>
                <w:sz w:val="18"/>
                <w:szCs w:val="24"/>
              </w:rPr>
              <w:t>Source</w:t>
            </w:r>
            <w:r w:rsidR="00F95686" w:rsidRPr="0033747B">
              <w:rPr>
                <w:rFonts w:ascii="Times New Roman" w:hAnsi="Times New Roman" w:cs="Times New Roman"/>
                <w:sz w:val="18"/>
                <w:szCs w:val="24"/>
              </w:rPr>
              <w:t xml:space="preserve">: </w:t>
            </w:r>
            <w:r w:rsidRPr="0033747B">
              <w:rPr>
                <w:rFonts w:ascii="Times New Roman" w:hAnsi="Times New Roman" w:cs="Times New Roman"/>
                <w:sz w:val="18"/>
                <w:szCs w:val="24"/>
              </w:rPr>
              <w:t>author’s proposal</w:t>
            </w:r>
          </w:p>
        </w:tc>
      </w:tr>
    </w:tbl>
    <w:p w:rsidR="00F95686" w:rsidRPr="008F00C9" w:rsidRDefault="00F95686" w:rsidP="00F95686">
      <w:pPr>
        <w:shd w:val="clear" w:color="auto" w:fill="FFFFFF"/>
        <w:spacing w:after="0" w:line="240" w:lineRule="auto"/>
        <w:jc w:val="both"/>
        <w:rPr>
          <w:rFonts w:ascii="Times New Roman" w:hAnsi="Times New Roman" w:cs="Times New Roman"/>
          <w:color w:val="171717"/>
          <w:sz w:val="12"/>
          <w:szCs w:val="12"/>
        </w:rPr>
      </w:pPr>
    </w:p>
    <w:p w:rsidR="00D16CDB" w:rsidRPr="00D16CDB" w:rsidRDefault="00D16CDB" w:rsidP="00D16CDB">
      <w:pPr>
        <w:spacing w:after="120" w:line="240" w:lineRule="auto"/>
        <w:jc w:val="both"/>
        <w:rPr>
          <w:rFonts w:ascii="Times New Roman" w:hAnsi="Times New Roman" w:cs="Times New Roman"/>
          <w:sz w:val="24"/>
          <w:szCs w:val="24"/>
        </w:rPr>
      </w:pPr>
      <w:r w:rsidRPr="00D16CDB">
        <w:rPr>
          <w:rFonts w:ascii="Times New Roman" w:hAnsi="Times New Roman" w:cs="Times New Roman"/>
          <w:sz w:val="24"/>
          <w:szCs w:val="24"/>
        </w:rPr>
        <w:t xml:space="preserve">Assessing the effectiveness of </w:t>
      </w:r>
      <w:r>
        <w:rPr>
          <w:rFonts w:ascii="Times New Roman" w:hAnsi="Times New Roman" w:cs="Times New Roman"/>
          <w:sz w:val="24"/>
          <w:szCs w:val="24"/>
        </w:rPr>
        <w:t>Romanian investment funds</w:t>
      </w:r>
      <w:r w:rsidRPr="00D16CDB">
        <w:rPr>
          <w:rFonts w:ascii="Times New Roman" w:hAnsi="Times New Roman" w:cs="Times New Roman"/>
          <w:sz w:val="24"/>
          <w:szCs w:val="24"/>
        </w:rPr>
        <w:t xml:space="preserve"> </w:t>
      </w:r>
      <w:r>
        <w:rPr>
          <w:rFonts w:ascii="Times New Roman" w:hAnsi="Times New Roman" w:cs="Times New Roman"/>
          <w:sz w:val="24"/>
          <w:szCs w:val="24"/>
        </w:rPr>
        <w:t>during</w:t>
      </w:r>
      <w:r w:rsidRPr="00D16CDB">
        <w:rPr>
          <w:rFonts w:ascii="Times New Roman" w:hAnsi="Times New Roman" w:cs="Times New Roman"/>
          <w:sz w:val="24"/>
          <w:szCs w:val="24"/>
        </w:rPr>
        <w:t xml:space="preserve"> 2007-2014 </w:t>
      </w:r>
      <w:r>
        <w:rPr>
          <w:rFonts w:ascii="Times New Roman" w:hAnsi="Times New Roman" w:cs="Times New Roman"/>
          <w:sz w:val="24"/>
          <w:szCs w:val="24"/>
        </w:rPr>
        <w:t>period needed a divided analysis within three groups e.g. mutual funds category</w:t>
      </w:r>
      <w:r w:rsidRPr="00D16CDB">
        <w:rPr>
          <w:rFonts w:ascii="Times New Roman" w:hAnsi="Times New Roman" w:cs="Times New Roman"/>
          <w:sz w:val="24"/>
          <w:szCs w:val="24"/>
        </w:rPr>
        <w:t xml:space="preserve"> (</w:t>
      </w:r>
      <w:r>
        <w:rPr>
          <w:rFonts w:ascii="Times New Roman" w:hAnsi="Times New Roman" w:cs="Times New Roman"/>
          <w:sz w:val="24"/>
          <w:szCs w:val="24"/>
        </w:rPr>
        <w:t xml:space="preserve">i.e. UCITS), close-end </w:t>
      </w:r>
      <w:r w:rsidRPr="00D16CDB">
        <w:rPr>
          <w:rFonts w:ascii="Times New Roman" w:hAnsi="Times New Roman" w:cs="Times New Roman"/>
          <w:sz w:val="24"/>
          <w:szCs w:val="24"/>
        </w:rPr>
        <w:t xml:space="preserve">funds ( </w:t>
      </w:r>
      <w:r>
        <w:rPr>
          <w:rFonts w:ascii="Times New Roman" w:hAnsi="Times New Roman" w:cs="Times New Roman"/>
          <w:sz w:val="24"/>
          <w:szCs w:val="24"/>
        </w:rPr>
        <w:t>non-UCITS</w:t>
      </w:r>
      <w:r w:rsidRPr="00D16CDB">
        <w:rPr>
          <w:rFonts w:ascii="Times New Roman" w:hAnsi="Times New Roman" w:cs="Times New Roman"/>
          <w:sz w:val="24"/>
          <w:szCs w:val="24"/>
        </w:rPr>
        <w:t>) and foreign funds investment</w:t>
      </w:r>
      <w:r>
        <w:rPr>
          <w:rFonts w:ascii="Times New Roman" w:hAnsi="Times New Roman" w:cs="Times New Roman"/>
          <w:sz w:val="24"/>
          <w:szCs w:val="24"/>
        </w:rPr>
        <w:t xml:space="preserve"> funds (abr. </w:t>
      </w:r>
      <w:r w:rsidRPr="00D16CDB">
        <w:rPr>
          <w:rFonts w:ascii="Times New Roman" w:hAnsi="Times New Roman" w:cs="Times New Roman"/>
          <w:sz w:val="24"/>
          <w:szCs w:val="24"/>
        </w:rPr>
        <w:t xml:space="preserve">FS) </w:t>
      </w:r>
      <w:r>
        <w:rPr>
          <w:rFonts w:ascii="Times New Roman" w:hAnsi="Times New Roman" w:cs="Times New Roman"/>
          <w:sz w:val="24"/>
          <w:szCs w:val="24"/>
        </w:rPr>
        <w:t xml:space="preserve">all being </w:t>
      </w:r>
      <w:r w:rsidRPr="00D16CDB">
        <w:rPr>
          <w:rFonts w:ascii="Times New Roman" w:hAnsi="Times New Roman" w:cs="Times New Roman"/>
          <w:sz w:val="24"/>
          <w:szCs w:val="24"/>
        </w:rPr>
        <w:t>present and authorized to o</w:t>
      </w:r>
      <w:r>
        <w:rPr>
          <w:rFonts w:ascii="Times New Roman" w:hAnsi="Times New Roman" w:cs="Times New Roman"/>
          <w:sz w:val="24"/>
          <w:szCs w:val="24"/>
        </w:rPr>
        <w:t>perate on the market in Romania.</w:t>
      </w:r>
      <w:r w:rsidRPr="00D16CDB">
        <w:rPr>
          <w:rFonts w:ascii="Times New Roman" w:hAnsi="Times New Roman" w:cs="Times New Roman"/>
          <w:sz w:val="24"/>
          <w:szCs w:val="24"/>
        </w:rPr>
        <w:t xml:space="preserve"> By applying DEA evaluation model of efficiency </w:t>
      </w:r>
      <w:r>
        <w:rPr>
          <w:rFonts w:ascii="Times New Roman" w:hAnsi="Times New Roman" w:cs="Times New Roman"/>
          <w:sz w:val="24"/>
          <w:szCs w:val="24"/>
        </w:rPr>
        <w:t xml:space="preserve">the </w:t>
      </w:r>
      <w:r w:rsidRPr="00D16CDB">
        <w:rPr>
          <w:rFonts w:ascii="Times New Roman" w:hAnsi="Times New Roman" w:cs="Times New Roman"/>
          <w:sz w:val="24"/>
          <w:szCs w:val="24"/>
        </w:rPr>
        <w:t xml:space="preserve">analysis will </w:t>
      </w:r>
      <w:r>
        <w:rPr>
          <w:rFonts w:ascii="Times New Roman" w:hAnsi="Times New Roman" w:cs="Times New Roman"/>
          <w:sz w:val="24"/>
          <w:szCs w:val="24"/>
        </w:rPr>
        <w:t xml:space="preserve">be </w:t>
      </w:r>
      <w:r w:rsidRPr="00D16CDB">
        <w:rPr>
          <w:rFonts w:ascii="Times New Roman" w:hAnsi="Times New Roman" w:cs="Times New Roman"/>
          <w:sz w:val="24"/>
          <w:szCs w:val="24"/>
        </w:rPr>
        <w:t>orientate</w:t>
      </w:r>
      <w:r>
        <w:rPr>
          <w:rFonts w:ascii="Times New Roman" w:hAnsi="Times New Roman" w:cs="Times New Roman"/>
          <w:sz w:val="24"/>
          <w:szCs w:val="24"/>
        </w:rPr>
        <w:t>d</w:t>
      </w:r>
      <w:r w:rsidRPr="00D16CDB">
        <w:rPr>
          <w:rFonts w:ascii="Times New Roman" w:hAnsi="Times New Roman" w:cs="Times New Roman"/>
          <w:sz w:val="24"/>
          <w:szCs w:val="24"/>
        </w:rPr>
        <w:t xml:space="preserve"> towards identifying the best performing fund category and the funds with the best results obtained during the last 7 years for each category</w:t>
      </w:r>
      <w:r>
        <w:rPr>
          <w:rFonts w:ascii="Times New Roman" w:hAnsi="Times New Roman" w:cs="Times New Roman"/>
          <w:sz w:val="24"/>
          <w:szCs w:val="24"/>
        </w:rPr>
        <w:t xml:space="preserve"> of these three</w:t>
      </w:r>
      <w:r w:rsidRPr="00D16CDB">
        <w:rPr>
          <w:rFonts w:ascii="Times New Roman" w:hAnsi="Times New Roman" w:cs="Times New Roman"/>
          <w:sz w:val="24"/>
          <w:szCs w:val="24"/>
        </w:rPr>
        <w:t>.</w:t>
      </w:r>
    </w:p>
    <w:p w:rsidR="006C16CE" w:rsidRPr="008F00C9" w:rsidRDefault="006C16CE" w:rsidP="006C16CE">
      <w:pPr>
        <w:pStyle w:val="Caption"/>
        <w:spacing w:before="0" w:beforeAutospacing="0" w:after="0" w:afterAutospacing="0"/>
        <w:jc w:val="center"/>
        <w:rPr>
          <w:b/>
        </w:rPr>
      </w:pPr>
      <w:bookmarkStart w:id="35" w:name="_Toc449385173"/>
      <w:r w:rsidRPr="008F00C9">
        <w:rPr>
          <w:b/>
        </w:rPr>
        <w:t>Tab</w:t>
      </w:r>
      <w:r w:rsidR="00954A28">
        <w:rPr>
          <w:b/>
        </w:rPr>
        <w:t>le</w:t>
      </w:r>
      <w:r w:rsidRPr="008F00C9">
        <w:rPr>
          <w:b/>
        </w:rPr>
        <w:t xml:space="preserve">5. </w:t>
      </w:r>
      <w:r w:rsidR="004B4616" w:rsidRPr="008F00C9">
        <w:rPr>
          <w:b/>
        </w:rPr>
        <w:fldChar w:fldCharType="begin"/>
      </w:r>
      <w:r w:rsidRPr="008F00C9">
        <w:rPr>
          <w:b/>
        </w:rPr>
        <w:instrText xml:space="preserve"> SEQ Tabel_5. \* ARABIC </w:instrText>
      </w:r>
      <w:r w:rsidR="004B4616" w:rsidRPr="008F00C9">
        <w:rPr>
          <w:b/>
        </w:rPr>
        <w:fldChar w:fldCharType="separate"/>
      </w:r>
      <w:r w:rsidR="00695698" w:rsidRPr="008F00C9">
        <w:rPr>
          <w:b/>
          <w:noProof/>
        </w:rPr>
        <w:t>4</w:t>
      </w:r>
      <w:r w:rsidR="004B4616" w:rsidRPr="008F00C9">
        <w:rPr>
          <w:b/>
        </w:rPr>
        <w:fldChar w:fldCharType="end"/>
      </w:r>
      <w:r w:rsidRPr="008F00C9">
        <w:rPr>
          <w:b/>
        </w:rPr>
        <w:t xml:space="preserve"> </w:t>
      </w:r>
      <w:bookmarkEnd w:id="35"/>
      <w:r w:rsidR="00D16CDB">
        <w:rPr>
          <w:b/>
        </w:rPr>
        <w:t>Efficiency scores per investment funds categories</w:t>
      </w:r>
    </w:p>
    <w:p w:rsidR="006C16CE" w:rsidRPr="008F00C9" w:rsidRDefault="006C16CE" w:rsidP="006C16CE">
      <w:pPr>
        <w:spacing w:after="0" w:line="240" w:lineRule="auto"/>
        <w:jc w:val="both"/>
        <w:rPr>
          <w:rFonts w:ascii="Times New Roman" w:hAnsi="Times New Roman" w:cs="Times New Roman"/>
          <w:sz w:val="24"/>
          <w:szCs w:val="24"/>
        </w:rPr>
      </w:pPr>
      <w:r w:rsidRPr="008F00C9">
        <w:rPr>
          <w:rFonts w:ascii="Times New Roman" w:hAnsi="Times New Roman" w:cs="Times New Roman"/>
          <w:sz w:val="24"/>
          <w:szCs w:val="24"/>
        </w:rPr>
        <w:object w:dxaOrig="18461" w:dyaOrig="3213">
          <v:shape id="_x0000_i1027" type="#_x0000_t75" style="width:450.25pt;height:78.8pt" o:ole="">
            <v:imagedata r:id="rId51" o:title=""/>
          </v:shape>
          <o:OLEObject Type="Embed" ProgID="Excel.Sheet.8" ShapeID="_x0000_i1027" DrawAspect="Content" ObjectID="_1526154442" r:id="rId52"/>
        </w:object>
      </w:r>
    </w:p>
    <w:p w:rsidR="006C16CE" w:rsidRPr="008F00C9" w:rsidRDefault="00954A28" w:rsidP="006C1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Source</w:t>
      </w:r>
      <w:r w:rsidR="006C16CE" w:rsidRPr="008F00C9">
        <w:rPr>
          <w:rFonts w:ascii="Times New Roman" w:hAnsi="Times New Roman" w:cs="Times New Roman"/>
          <w:sz w:val="24"/>
          <w:szCs w:val="24"/>
        </w:rPr>
        <w:t xml:space="preserve">: </w:t>
      </w:r>
      <w:r>
        <w:rPr>
          <w:rFonts w:ascii="Times New Roman" w:hAnsi="Times New Roman" w:cs="Times New Roman"/>
          <w:sz w:val="24"/>
          <w:szCs w:val="24"/>
        </w:rPr>
        <w:t>author’s own calculations</w:t>
      </w:r>
      <w:r w:rsidR="006C16CE" w:rsidRPr="008F00C9">
        <w:rPr>
          <w:rFonts w:ascii="Times New Roman" w:hAnsi="Times New Roman" w:cs="Times New Roman"/>
          <w:sz w:val="24"/>
          <w:szCs w:val="24"/>
        </w:rPr>
        <w:t xml:space="preserve"> </w:t>
      </w:r>
    </w:p>
    <w:p w:rsidR="00D16CDB" w:rsidRDefault="000C68F5" w:rsidP="006C16C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usage of DEA methodology applied within input oriented variant has </w:t>
      </w:r>
      <w:r w:rsidR="00D16CDB" w:rsidRPr="00D16CDB">
        <w:rPr>
          <w:rFonts w:ascii="Times New Roman" w:hAnsi="Times New Roman" w:cs="Times New Roman"/>
          <w:sz w:val="24"/>
          <w:szCs w:val="24"/>
        </w:rPr>
        <w:t>outlined</w:t>
      </w:r>
      <w:r>
        <w:rPr>
          <w:rFonts w:ascii="Times New Roman" w:hAnsi="Times New Roman" w:cs="Times New Roman"/>
          <w:sz w:val="24"/>
          <w:szCs w:val="24"/>
        </w:rPr>
        <w:t>,</w:t>
      </w:r>
      <w:r w:rsidR="00D16CDB" w:rsidRPr="00D16CDB">
        <w:rPr>
          <w:rFonts w:ascii="Times New Roman" w:hAnsi="Times New Roman" w:cs="Times New Roman"/>
          <w:sz w:val="24"/>
          <w:szCs w:val="24"/>
        </w:rPr>
        <w:t xml:space="preserve"> as expected</w:t>
      </w:r>
      <w:r>
        <w:rPr>
          <w:rFonts w:ascii="Times New Roman" w:hAnsi="Times New Roman" w:cs="Times New Roman"/>
          <w:sz w:val="24"/>
          <w:szCs w:val="24"/>
        </w:rPr>
        <w:t>,</w:t>
      </w:r>
      <w:r w:rsidR="00D16CDB" w:rsidRPr="00D16CDB">
        <w:rPr>
          <w:rFonts w:ascii="Times New Roman" w:hAnsi="Times New Roman" w:cs="Times New Roman"/>
          <w:sz w:val="24"/>
          <w:szCs w:val="24"/>
        </w:rPr>
        <w:t xml:space="preserve"> the same trend observed in assessing the performance of funds</w:t>
      </w:r>
      <w:r>
        <w:rPr>
          <w:rFonts w:ascii="Times New Roman" w:hAnsi="Times New Roman" w:cs="Times New Roman"/>
          <w:sz w:val="24"/>
          <w:szCs w:val="24"/>
        </w:rPr>
        <w:t>. The mutual funds performance</w:t>
      </w:r>
      <w:r w:rsidR="00D16CDB" w:rsidRPr="00D16CDB">
        <w:rPr>
          <w:rFonts w:ascii="Times New Roman" w:hAnsi="Times New Roman" w:cs="Times New Roman"/>
          <w:sz w:val="24"/>
          <w:szCs w:val="24"/>
        </w:rPr>
        <w:t xml:space="preserve"> is marked by the financial crisis between the ye</w:t>
      </w:r>
      <w:r>
        <w:rPr>
          <w:rFonts w:ascii="Times New Roman" w:hAnsi="Times New Roman" w:cs="Times New Roman"/>
          <w:sz w:val="24"/>
          <w:szCs w:val="24"/>
        </w:rPr>
        <w:t>ars 2008- 2011, thus</w:t>
      </w:r>
      <w:r w:rsidR="00D16CDB" w:rsidRPr="00D16CDB">
        <w:rPr>
          <w:rFonts w:ascii="Times New Roman" w:hAnsi="Times New Roman" w:cs="Times New Roman"/>
          <w:sz w:val="24"/>
          <w:szCs w:val="24"/>
        </w:rPr>
        <w:t>, amid retraction of the market the efficiency scores follow the same trend</w:t>
      </w:r>
      <w:r>
        <w:rPr>
          <w:rFonts w:ascii="Times New Roman" w:hAnsi="Times New Roman" w:cs="Times New Roman"/>
          <w:sz w:val="24"/>
          <w:szCs w:val="24"/>
        </w:rPr>
        <w:t>.</w:t>
      </w:r>
    </w:p>
    <w:p w:rsidR="000C68F5" w:rsidRDefault="000C68F5" w:rsidP="006C16C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DEA investigation reached to report the following remarks:</w:t>
      </w:r>
    </w:p>
    <w:p w:rsidR="000C68F5" w:rsidRPr="008F00C9" w:rsidRDefault="000C68F5" w:rsidP="008E36E4">
      <w:pPr>
        <w:pStyle w:val="ListParagraph"/>
        <w:numPr>
          <w:ilvl w:val="0"/>
          <w:numId w:val="14"/>
        </w:numPr>
        <w:spacing w:after="120" w:line="240" w:lineRule="auto"/>
        <w:jc w:val="both"/>
        <w:rPr>
          <w:rFonts w:ascii="Times New Roman" w:hAnsi="Times New Roman" w:cs="Times New Roman"/>
          <w:sz w:val="24"/>
          <w:szCs w:val="24"/>
        </w:rPr>
      </w:pPr>
      <w:r w:rsidRPr="000C68F5">
        <w:rPr>
          <w:rFonts w:ascii="Times New Roman" w:hAnsi="Times New Roman" w:cs="Times New Roman"/>
          <w:sz w:val="24"/>
          <w:szCs w:val="24"/>
        </w:rPr>
        <w:t xml:space="preserve">effectiveness </w:t>
      </w:r>
      <w:r>
        <w:rPr>
          <w:rFonts w:ascii="Times New Roman" w:hAnsi="Times New Roman" w:cs="Times New Roman"/>
          <w:sz w:val="24"/>
          <w:szCs w:val="24"/>
        </w:rPr>
        <w:t xml:space="preserve">analysis </w:t>
      </w:r>
      <w:r w:rsidRPr="000C68F5">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Pr="000C68F5">
        <w:rPr>
          <w:rFonts w:ascii="Times New Roman" w:hAnsi="Times New Roman" w:cs="Times New Roman"/>
          <w:sz w:val="24"/>
          <w:szCs w:val="24"/>
        </w:rPr>
        <w:t xml:space="preserve">collective investment undertakings in Romania during 2007-2014 was the most fruitful </w:t>
      </w:r>
      <w:r>
        <w:rPr>
          <w:rFonts w:ascii="Times New Roman" w:hAnsi="Times New Roman" w:cs="Times New Roman"/>
          <w:sz w:val="24"/>
          <w:szCs w:val="24"/>
        </w:rPr>
        <w:t>period time in terms of</w:t>
      </w:r>
      <w:r w:rsidRPr="000C68F5">
        <w:rPr>
          <w:rFonts w:ascii="Times New Roman" w:hAnsi="Times New Roman" w:cs="Times New Roman"/>
          <w:sz w:val="24"/>
          <w:szCs w:val="24"/>
        </w:rPr>
        <w:t xml:space="preserve"> the</w:t>
      </w:r>
      <w:r>
        <w:rPr>
          <w:rFonts w:ascii="Times New Roman" w:hAnsi="Times New Roman" w:cs="Times New Roman"/>
          <w:sz w:val="24"/>
          <w:szCs w:val="24"/>
        </w:rPr>
        <w:t xml:space="preserve"> overall market results, </w:t>
      </w:r>
      <w:r w:rsidRPr="000C68F5">
        <w:rPr>
          <w:rFonts w:ascii="Times New Roman" w:hAnsi="Times New Roman" w:cs="Times New Roman"/>
          <w:sz w:val="24"/>
          <w:szCs w:val="24"/>
        </w:rPr>
        <w:t>while 2009 and 2011 generated the highest scores</w:t>
      </w:r>
      <w:r>
        <w:rPr>
          <w:rFonts w:ascii="Times New Roman" w:hAnsi="Times New Roman" w:cs="Times New Roman"/>
          <w:sz w:val="24"/>
          <w:szCs w:val="24"/>
        </w:rPr>
        <w:t xml:space="preserve"> of </w:t>
      </w:r>
      <w:r w:rsidRPr="000C68F5">
        <w:rPr>
          <w:rFonts w:ascii="Times New Roman" w:hAnsi="Times New Roman" w:cs="Times New Roman"/>
          <w:sz w:val="24"/>
          <w:szCs w:val="24"/>
        </w:rPr>
        <w:t>inefficiency</w:t>
      </w:r>
      <w:r>
        <w:rPr>
          <w:rFonts w:ascii="Arial" w:hAnsi="Arial" w:cs="Arial"/>
          <w:color w:val="212121"/>
          <w:shd w:val="clear" w:color="auto" w:fill="FFFFFF"/>
        </w:rPr>
        <w:t>;</w:t>
      </w:r>
    </w:p>
    <w:p w:rsidR="000C68F5" w:rsidRPr="000C68F5" w:rsidRDefault="000C68F5" w:rsidP="000C68F5">
      <w:pPr>
        <w:pStyle w:val="ListParagraph"/>
        <w:numPr>
          <w:ilvl w:val="0"/>
          <w:numId w:val="1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t</w:t>
      </w:r>
      <w:r w:rsidRPr="000C68F5">
        <w:rPr>
          <w:rFonts w:ascii="Times New Roman" w:hAnsi="Times New Roman" w:cs="Times New Roman"/>
          <w:sz w:val="24"/>
          <w:szCs w:val="24"/>
        </w:rPr>
        <w:t xml:space="preserve">he </w:t>
      </w:r>
      <w:r>
        <w:rPr>
          <w:rFonts w:ascii="Times New Roman" w:hAnsi="Times New Roman" w:cs="Times New Roman"/>
          <w:sz w:val="24"/>
          <w:szCs w:val="24"/>
        </w:rPr>
        <w:t xml:space="preserve">latter </w:t>
      </w:r>
      <w:r w:rsidRPr="000C68F5">
        <w:rPr>
          <w:rFonts w:ascii="Times New Roman" w:hAnsi="Times New Roman" w:cs="Times New Roman"/>
          <w:sz w:val="24"/>
          <w:szCs w:val="24"/>
        </w:rPr>
        <w:t xml:space="preserve">financial crisis has opened investment fund market in Romania </w:t>
      </w:r>
      <w:r>
        <w:rPr>
          <w:rFonts w:ascii="Times New Roman" w:hAnsi="Times New Roman" w:cs="Times New Roman"/>
          <w:sz w:val="24"/>
          <w:szCs w:val="24"/>
        </w:rPr>
        <w:t>for</w:t>
      </w:r>
      <w:r w:rsidRPr="000C68F5">
        <w:rPr>
          <w:rFonts w:ascii="Times New Roman" w:hAnsi="Times New Roman" w:cs="Times New Roman"/>
          <w:sz w:val="24"/>
          <w:szCs w:val="24"/>
        </w:rPr>
        <w:t xml:space="preserve"> foreign </w:t>
      </w:r>
      <w:r>
        <w:rPr>
          <w:rFonts w:ascii="Times New Roman" w:hAnsi="Times New Roman" w:cs="Times New Roman"/>
          <w:sz w:val="24"/>
          <w:szCs w:val="24"/>
        </w:rPr>
        <w:t>markets as international investment funds succeded to manage</w:t>
      </w:r>
      <w:r w:rsidRPr="000C68F5">
        <w:rPr>
          <w:rFonts w:ascii="Times New Roman" w:hAnsi="Times New Roman" w:cs="Times New Roman"/>
          <w:sz w:val="24"/>
          <w:szCs w:val="24"/>
        </w:rPr>
        <w:t xml:space="preserve"> </w:t>
      </w:r>
      <w:r>
        <w:rPr>
          <w:rFonts w:ascii="Times New Roman" w:hAnsi="Times New Roman" w:cs="Times New Roman"/>
          <w:sz w:val="24"/>
          <w:szCs w:val="24"/>
        </w:rPr>
        <w:t>a great part</w:t>
      </w:r>
      <w:r w:rsidRPr="000C68F5">
        <w:rPr>
          <w:rFonts w:ascii="Times New Roman" w:hAnsi="Times New Roman" w:cs="Times New Roman"/>
          <w:sz w:val="24"/>
          <w:szCs w:val="24"/>
        </w:rPr>
        <w:t xml:space="preserve"> </w:t>
      </w:r>
      <w:r>
        <w:rPr>
          <w:rFonts w:ascii="Times New Roman" w:hAnsi="Times New Roman" w:cs="Times New Roman"/>
          <w:sz w:val="24"/>
          <w:szCs w:val="24"/>
        </w:rPr>
        <w:t>funds over the local market</w:t>
      </w:r>
      <w:r w:rsidRPr="000C68F5">
        <w:rPr>
          <w:rFonts w:ascii="Times New Roman" w:hAnsi="Times New Roman" w:cs="Times New Roman"/>
          <w:sz w:val="24"/>
          <w:szCs w:val="24"/>
        </w:rPr>
        <w:t xml:space="preserve">. </w:t>
      </w:r>
      <w:r>
        <w:rPr>
          <w:rFonts w:ascii="Times New Roman" w:hAnsi="Times New Roman" w:cs="Times New Roman"/>
          <w:sz w:val="24"/>
          <w:szCs w:val="24"/>
        </w:rPr>
        <w:t xml:space="preserve">Pioneer funds are the best example of </w:t>
      </w:r>
      <w:r w:rsidRPr="000C68F5">
        <w:rPr>
          <w:rFonts w:ascii="Times New Roman" w:hAnsi="Times New Roman" w:cs="Times New Roman"/>
          <w:sz w:val="24"/>
          <w:szCs w:val="24"/>
        </w:rPr>
        <w:t xml:space="preserve">foreign investment funds </w:t>
      </w:r>
      <w:r>
        <w:rPr>
          <w:rFonts w:ascii="Times New Roman" w:hAnsi="Times New Roman" w:cs="Times New Roman"/>
          <w:sz w:val="24"/>
          <w:szCs w:val="24"/>
        </w:rPr>
        <w:t>that have been very active within the domestic</w:t>
      </w:r>
      <w:r w:rsidRPr="000C68F5">
        <w:rPr>
          <w:rFonts w:ascii="Times New Roman" w:hAnsi="Times New Roman" w:cs="Times New Roman"/>
          <w:sz w:val="24"/>
          <w:szCs w:val="24"/>
        </w:rPr>
        <w:t xml:space="preserve"> market </w:t>
      </w:r>
      <w:r>
        <w:rPr>
          <w:rFonts w:ascii="Times New Roman" w:hAnsi="Times New Roman" w:cs="Times New Roman"/>
          <w:sz w:val="24"/>
          <w:szCs w:val="24"/>
        </w:rPr>
        <w:t>during</w:t>
      </w:r>
      <w:r w:rsidRPr="000C68F5">
        <w:rPr>
          <w:rFonts w:ascii="Times New Roman" w:hAnsi="Times New Roman" w:cs="Times New Roman"/>
          <w:sz w:val="24"/>
          <w:szCs w:val="24"/>
        </w:rPr>
        <w:t xml:space="preserve"> 2008-2014 </w:t>
      </w:r>
      <w:r>
        <w:rPr>
          <w:rFonts w:ascii="Times New Roman" w:hAnsi="Times New Roman" w:cs="Times New Roman"/>
          <w:sz w:val="24"/>
          <w:szCs w:val="24"/>
        </w:rPr>
        <w:t>offering</w:t>
      </w:r>
      <w:r w:rsidRPr="000C68F5">
        <w:rPr>
          <w:rFonts w:ascii="Times New Roman" w:hAnsi="Times New Roman" w:cs="Times New Roman"/>
          <w:sz w:val="24"/>
          <w:szCs w:val="24"/>
        </w:rPr>
        <w:t xml:space="preserve"> </w:t>
      </w:r>
      <w:r>
        <w:rPr>
          <w:rFonts w:ascii="Times New Roman" w:hAnsi="Times New Roman" w:cs="Times New Roman"/>
          <w:sz w:val="24"/>
          <w:szCs w:val="24"/>
        </w:rPr>
        <w:t>high</w:t>
      </w:r>
      <w:r w:rsidRPr="000C68F5">
        <w:rPr>
          <w:rFonts w:ascii="Times New Roman" w:hAnsi="Times New Roman" w:cs="Times New Roman"/>
          <w:sz w:val="24"/>
          <w:szCs w:val="24"/>
        </w:rPr>
        <w:t xml:space="preserve"> return </w:t>
      </w:r>
      <w:r>
        <w:rPr>
          <w:rFonts w:ascii="Times New Roman" w:hAnsi="Times New Roman" w:cs="Times New Roman"/>
          <w:sz w:val="24"/>
          <w:szCs w:val="24"/>
        </w:rPr>
        <w:t>rates</w:t>
      </w:r>
      <w:r w:rsidRPr="000C68F5">
        <w:rPr>
          <w:rFonts w:ascii="Times New Roman" w:hAnsi="Times New Roman" w:cs="Times New Roman"/>
          <w:sz w:val="24"/>
          <w:szCs w:val="24"/>
        </w:rPr>
        <w:t>;</w:t>
      </w:r>
    </w:p>
    <w:p w:rsidR="00AC2104" w:rsidRDefault="000C68F5" w:rsidP="000C68F5">
      <w:pPr>
        <w:pStyle w:val="ListParagraph"/>
        <w:numPr>
          <w:ilvl w:val="0"/>
          <w:numId w:val="1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economic decline of 2009 (-6%</w:t>
      </w:r>
      <w:r w:rsidRPr="000C68F5">
        <w:rPr>
          <w:rFonts w:ascii="Times New Roman" w:hAnsi="Times New Roman" w:cs="Times New Roman"/>
          <w:sz w:val="24"/>
          <w:szCs w:val="24"/>
        </w:rPr>
        <w:t xml:space="preserve">) has not </w:t>
      </w:r>
      <w:r>
        <w:rPr>
          <w:rFonts w:ascii="Times New Roman" w:hAnsi="Times New Roman" w:cs="Times New Roman"/>
          <w:sz w:val="24"/>
          <w:szCs w:val="24"/>
        </w:rPr>
        <w:t xml:space="preserve">fully </w:t>
      </w:r>
      <w:r w:rsidRPr="000C68F5">
        <w:rPr>
          <w:rFonts w:ascii="Times New Roman" w:hAnsi="Times New Roman" w:cs="Times New Roman"/>
          <w:sz w:val="24"/>
          <w:szCs w:val="24"/>
        </w:rPr>
        <w:t>destabilized</w:t>
      </w:r>
      <w:r>
        <w:rPr>
          <w:rFonts w:ascii="Times New Roman" w:hAnsi="Times New Roman" w:cs="Times New Roman"/>
          <w:sz w:val="24"/>
          <w:szCs w:val="24"/>
        </w:rPr>
        <w:t xml:space="preserve"> the </w:t>
      </w:r>
      <w:r w:rsidRPr="000C68F5">
        <w:rPr>
          <w:rFonts w:ascii="Times New Roman" w:hAnsi="Times New Roman" w:cs="Times New Roman"/>
          <w:sz w:val="24"/>
          <w:szCs w:val="24"/>
        </w:rPr>
        <w:t>investors</w:t>
      </w:r>
      <w:r>
        <w:rPr>
          <w:rFonts w:ascii="Times New Roman" w:hAnsi="Times New Roman" w:cs="Times New Roman"/>
          <w:sz w:val="24"/>
          <w:szCs w:val="24"/>
        </w:rPr>
        <w:t>’ confidence</w:t>
      </w:r>
      <w:r w:rsidRPr="000C68F5">
        <w:rPr>
          <w:rFonts w:ascii="Times New Roman" w:hAnsi="Times New Roman" w:cs="Times New Roman"/>
          <w:sz w:val="24"/>
          <w:szCs w:val="24"/>
        </w:rPr>
        <w:t xml:space="preserve"> in </w:t>
      </w:r>
      <w:r>
        <w:rPr>
          <w:rFonts w:ascii="Times New Roman" w:hAnsi="Times New Roman" w:cs="Times New Roman"/>
          <w:sz w:val="24"/>
          <w:szCs w:val="24"/>
        </w:rPr>
        <w:t xml:space="preserve">the Romanian </w:t>
      </w:r>
      <w:r w:rsidRPr="000C68F5">
        <w:rPr>
          <w:rFonts w:ascii="Times New Roman" w:hAnsi="Times New Roman" w:cs="Times New Roman"/>
          <w:sz w:val="24"/>
          <w:szCs w:val="24"/>
        </w:rPr>
        <w:t xml:space="preserve">collective investment schemes, keeping </w:t>
      </w:r>
      <w:r w:rsidR="00AC2104">
        <w:rPr>
          <w:rFonts w:ascii="Times New Roman" w:hAnsi="Times New Roman" w:cs="Times New Roman"/>
          <w:sz w:val="24"/>
          <w:szCs w:val="24"/>
        </w:rPr>
        <w:t xml:space="preserve">for </w:t>
      </w:r>
      <w:r w:rsidRPr="000C68F5">
        <w:rPr>
          <w:rFonts w:ascii="Times New Roman" w:hAnsi="Times New Roman" w:cs="Times New Roman"/>
          <w:sz w:val="24"/>
          <w:szCs w:val="24"/>
        </w:rPr>
        <w:t>them an average l</w:t>
      </w:r>
      <w:r w:rsidR="00AC2104">
        <w:rPr>
          <w:rFonts w:ascii="Times New Roman" w:hAnsi="Times New Roman" w:cs="Times New Roman"/>
          <w:sz w:val="24"/>
          <w:szCs w:val="24"/>
        </w:rPr>
        <w:t>evel of efficiency of over 80 %</w:t>
      </w:r>
      <w:r w:rsidRPr="000C68F5">
        <w:rPr>
          <w:rFonts w:ascii="Times New Roman" w:hAnsi="Times New Roman" w:cs="Times New Roman"/>
          <w:sz w:val="24"/>
          <w:szCs w:val="24"/>
        </w:rPr>
        <w:t xml:space="preserve">; </w:t>
      </w:r>
    </w:p>
    <w:p w:rsidR="00AC2104" w:rsidRDefault="00AC2104" w:rsidP="00AC2104">
      <w:pPr>
        <w:pStyle w:val="ListParagraph"/>
        <w:numPr>
          <w:ilvl w:val="0"/>
          <w:numId w:val="1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closed funds shares, </w:t>
      </w:r>
      <w:r w:rsidR="000C68F5" w:rsidRPr="000C68F5">
        <w:rPr>
          <w:rFonts w:ascii="Times New Roman" w:hAnsi="Times New Roman" w:cs="Times New Roman"/>
          <w:sz w:val="24"/>
          <w:szCs w:val="24"/>
        </w:rPr>
        <w:t>excep</w:t>
      </w:r>
      <w:r>
        <w:rPr>
          <w:rFonts w:ascii="Times New Roman" w:hAnsi="Times New Roman" w:cs="Times New Roman"/>
          <w:sz w:val="24"/>
          <w:szCs w:val="24"/>
        </w:rPr>
        <w:t>t SIF and FP,</w:t>
      </w:r>
      <w:r w:rsidR="000C68F5" w:rsidRPr="000C68F5">
        <w:rPr>
          <w:rFonts w:ascii="Times New Roman" w:hAnsi="Times New Roman" w:cs="Times New Roman"/>
          <w:sz w:val="24"/>
          <w:szCs w:val="24"/>
        </w:rPr>
        <w:t xml:space="preserve"> proposed also good yields </w:t>
      </w:r>
      <w:r>
        <w:rPr>
          <w:rFonts w:ascii="Times New Roman" w:hAnsi="Times New Roman" w:cs="Times New Roman"/>
          <w:sz w:val="24"/>
          <w:szCs w:val="24"/>
        </w:rPr>
        <w:t>like</w:t>
      </w:r>
      <w:r w:rsidR="000C68F5" w:rsidRPr="000C68F5">
        <w:rPr>
          <w:rFonts w:ascii="Times New Roman" w:hAnsi="Times New Roman" w:cs="Times New Roman"/>
          <w:sz w:val="24"/>
          <w:szCs w:val="24"/>
        </w:rPr>
        <w:t xml:space="preserve"> Certinvest Art</w:t>
      </w:r>
      <w:r>
        <w:rPr>
          <w:rFonts w:ascii="Times New Roman" w:hAnsi="Times New Roman" w:cs="Times New Roman"/>
          <w:sz w:val="24"/>
          <w:szCs w:val="24"/>
        </w:rPr>
        <w:t>a Romania, Certinvest Leader, Hermes and Matador</w:t>
      </w:r>
      <w:r w:rsidR="000C68F5" w:rsidRPr="000C68F5">
        <w:rPr>
          <w:rFonts w:ascii="Times New Roman" w:hAnsi="Times New Roman" w:cs="Times New Roman"/>
          <w:sz w:val="24"/>
          <w:szCs w:val="24"/>
        </w:rPr>
        <w:t>,</w:t>
      </w:r>
      <w:r>
        <w:rPr>
          <w:rFonts w:ascii="Times New Roman" w:hAnsi="Times New Roman" w:cs="Times New Roman"/>
          <w:sz w:val="24"/>
          <w:szCs w:val="24"/>
        </w:rPr>
        <w:t xml:space="preserve"> being </w:t>
      </w:r>
      <w:r w:rsidRPr="000C68F5">
        <w:rPr>
          <w:rFonts w:ascii="Times New Roman" w:hAnsi="Times New Roman" w:cs="Times New Roman"/>
          <w:sz w:val="24"/>
          <w:szCs w:val="24"/>
        </w:rPr>
        <w:t>able to offer better yields than common funds (following as if the years 2009 and 2013)</w:t>
      </w:r>
      <w:r>
        <w:rPr>
          <w:rFonts w:ascii="Times New Roman" w:hAnsi="Times New Roman" w:cs="Times New Roman"/>
          <w:sz w:val="24"/>
          <w:szCs w:val="24"/>
        </w:rPr>
        <w:t>;</w:t>
      </w:r>
    </w:p>
    <w:p w:rsidR="00AC2104" w:rsidRPr="000C68F5" w:rsidRDefault="00AC2104" w:rsidP="00AC2104">
      <w:pPr>
        <w:pStyle w:val="ListParagraph"/>
        <w:numPr>
          <w:ilvl w:val="0"/>
          <w:numId w:val="1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mutual funds</w:t>
      </w:r>
      <w:r w:rsidRPr="00AC2104">
        <w:rPr>
          <w:rFonts w:ascii="Times New Roman" w:hAnsi="Times New Roman" w:cs="Times New Roman"/>
          <w:sz w:val="24"/>
          <w:szCs w:val="24"/>
        </w:rPr>
        <w:t xml:space="preserve"> ha</w:t>
      </w:r>
      <w:r>
        <w:rPr>
          <w:rFonts w:ascii="Times New Roman" w:hAnsi="Times New Roman" w:cs="Times New Roman"/>
          <w:sz w:val="24"/>
          <w:szCs w:val="24"/>
        </w:rPr>
        <w:t>ve been pretty volatile being</w:t>
      </w:r>
      <w:r w:rsidRPr="00AC2104">
        <w:rPr>
          <w:rFonts w:ascii="Times New Roman" w:hAnsi="Times New Roman" w:cs="Times New Roman"/>
          <w:sz w:val="24"/>
          <w:szCs w:val="24"/>
        </w:rPr>
        <w:t xml:space="preserve"> marked by a strong </w:t>
      </w:r>
      <w:r>
        <w:rPr>
          <w:rFonts w:ascii="Times New Roman" w:hAnsi="Times New Roman" w:cs="Times New Roman"/>
          <w:sz w:val="24"/>
          <w:szCs w:val="24"/>
        </w:rPr>
        <w:t>dropdown in 2009 and 2011</w:t>
      </w:r>
      <w:r w:rsidRPr="00AC2104">
        <w:rPr>
          <w:rFonts w:ascii="Times New Roman" w:hAnsi="Times New Roman" w:cs="Times New Roman"/>
          <w:sz w:val="24"/>
          <w:szCs w:val="24"/>
        </w:rPr>
        <w:t xml:space="preserve">, but have managed to </w:t>
      </w:r>
      <w:r>
        <w:rPr>
          <w:rFonts w:ascii="Times New Roman" w:hAnsi="Times New Roman" w:cs="Times New Roman"/>
          <w:sz w:val="24"/>
          <w:szCs w:val="24"/>
        </w:rPr>
        <w:t>adjust a place on the efficiency</w:t>
      </w:r>
      <w:r w:rsidRPr="00AC2104">
        <w:rPr>
          <w:rFonts w:ascii="Times New Roman" w:hAnsi="Times New Roman" w:cs="Times New Roman"/>
          <w:sz w:val="24"/>
          <w:szCs w:val="24"/>
        </w:rPr>
        <w:t xml:space="preserve"> frontier </w:t>
      </w:r>
      <w:r>
        <w:rPr>
          <w:rFonts w:ascii="Times New Roman" w:hAnsi="Times New Roman" w:cs="Times New Roman"/>
          <w:sz w:val="24"/>
          <w:szCs w:val="24"/>
        </w:rPr>
        <w:t xml:space="preserve">of the Romanian market </w:t>
      </w:r>
      <w:r w:rsidRPr="00AC2104">
        <w:rPr>
          <w:rFonts w:ascii="Times New Roman" w:hAnsi="Times New Roman" w:cs="Times New Roman"/>
          <w:sz w:val="24"/>
          <w:szCs w:val="24"/>
        </w:rPr>
        <w:t>above average</w:t>
      </w:r>
      <w:r>
        <w:rPr>
          <w:rFonts w:ascii="Times New Roman" w:hAnsi="Times New Roman" w:cs="Times New Roman"/>
          <w:sz w:val="24"/>
          <w:szCs w:val="24"/>
        </w:rPr>
        <w:t>.  C</w:t>
      </w:r>
      <w:r w:rsidRPr="00AC2104">
        <w:rPr>
          <w:rFonts w:ascii="Times New Roman" w:hAnsi="Times New Roman" w:cs="Times New Roman"/>
          <w:sz w:val="24"/>
          <w:szCs w:val="24"/>
        </w:rPr>
        <w:t>ompare</w:t>
      </w:r>
      <w:r>
        <w:rPr>
          <w:rFonts w:ascii="Times New Roman" w:hAnsi="Times New Roman" w:cs="Times New Roman"/>
          <w:sz w:val="24"/>
          <w:szCs w:val="24"/>
        </w:rPr>
        <w:t>d with the best yields we identified the followings</w:t>
      </w:r>
      <w:r w:rsidRPr="00AC2104">
        <w:rPr>
          <w:rFonts w:ascii="Times New Roman" w:hAnsi="Times New Roman" w:cs="Times New Roman"/>
          <w:sz w:val="24"/>
          <w:szCs w:val="24"/>
        </w:rPr>
        <w:t>:</w:t>
      </w:r>
    </w:p>
    <w:tbl>
      <w:tblPr>
        <w:tblStyle w:val="TableGrid"/>
        <w:tblW w:w="0" w:type="auto"/>
        <w:tblInd w:w="1101" w:type="dxa"/>
        <w:tblLook w:val="04A0"/>
      </w:tblPr>
      <w:tblGrid>
        <w:gridCol w:w="2216"/>
        <w:gridCol w:w="5843"/>
      </w:tblGrid>
      <w:tr w:rsidR="006C16CE" w:rsidRPr="008F00C9" w:rsidTr="00D16CDB">
        <w:tc>
          <w:tcPr>
            <w:tcW w:w="0" w:type="auto"/>
          </w:tcPr>
          <w:p w:rsidR="006C16CE" w:rsidRPr="00D16CDB" w:rsidRDefault="00D16CDB" w:rsidP="006C16CE">
            <w:pPr>
              <w:jc w:val="both"/>
              <w:rPr>
                <w:i/>
                <w:sz w:val="24"/>
                <w:szCs w:val="24"/>
              </w:rPr>
            </w:pPr>
            <w:r w:rsidRPr="00D16CDB">
              <w:rPr>
                <w:i/>
                <w:sz w:val="24"/>
                <w:szCs w:val="24"/>
              </w:rPr>
              <w:t xml:space="preserve">Mutual funds </w:t>
            </w:r>
          </w:p>
        </w:tc>
        <w:tc>
          <w:tcPr>
            <w:tcW w:w="0" w:type="auto"/>
          </w:tcPr>
          <w:p w:rsidR="006C16CE" w:rsidRPr="00D16CDB" w:rsidRDefault="00D16CDB" w:rsidP="006C16CE">
            <w:pPr>
              <w:jc w:val="both"/>
              <w:rPr>
                <w:i/>
                <w:sz w:val="24"/>
                <w:szCs w:val="24"/>
              </w:rPr>
            </w:pPr>
            <w:r w:rsidRPr="00D16CDB">
              <w:rPr>
                <w:i/>
                <w:sz w:val="24"/>
                <w:szCs w:val="24"/>
              </w:rPr>
              <w:t>Best performance funds</w:t>
            </w:r>
          </w:p>
        </w:tc>
      </w:tr>
      <w:tr w:rsidR="006C16CE" w:rsidRPr="008F00C9" w:rsidTr="00D16CDB">
        <w:tc>
          <w:tcPr>
            <w:tcW w:w="0" w:type="auto"/>
          </w:tcPr>
          <w:p w:rsidR="006C16CE" w:rsidRPr="008F00C9" w:rsidRDefault="00D16CDB" w:rsidP="006C16CE">
            <w:pPr>
              <w:jc w:val="both"/>
              <w:rPr>
                <w:sz w:val="24"/>
                <w:szCs w:val="24"/>
              </w:rPr>
            </w:pPr>
            <w:r>
              <w:rPr>
                <w:sz w:val="24"/>
                <w:szCs w:val="24"/>
              </w:rPr>
              <w:t>Equity funds</w:t>
            </w:r>
          </w:p>
        </w:tc>
        <w:tc>
          <w:tcPr>
            <w:tcW w:w="0" w:type="auto"/>
          </w:tcPr>
          <w:p w:rsidR="006C16CE" w:rsidRPr="008F00C9" w:rsidRDefault="006C16CE" w:rsidP="006C16CE">
            <w:pPr>
              <w:jc w:val="both"/>
              <w:rPr>
                <w:sz w:val="24"/>
                <w:szCs w:val="24"/>
              </w:rPr>
            </w:pPr>
            <w:r w:rsidRPr="008F00C9">
              <w:rPr>
                <w:sz w:val="24"/>
                <w:szCs w:val="24"/>
              </w:rPr>
              <w:t>Carpatica Stock, OTP Avansis şi Erste Equity Romania</w:t>
            </w:r>
          </w:p>
        </w:tc>
      </w:tr>
      <w:tr w:rsidR="006C16CE" w:rsidRPr="008F00C9" w:rsidTr="00D16CDB">
        <w:tc>
          <w:tcPr>
            <w:tcW w:w="0" w:type="auto"/>
          </w:tcPr>
          <w:p w:rsidR="006C16CE" w:rsidRPr="008F00C9" w:rsidRDefault="00D16CDB" w:rsidP="006C16CE">
            <w:pPr>
              <w:jc w:val="both"/>
              <w:rPr>
                <w:sz w:val="24"/>
                <w:szCs w:val="24"/>
              </w:rPr>
            </w:pPr>
            <w:r>
              <w:rPr>
                <w:sz w:val="24"/>
                <w:szCs w:val="24"/>
              </w:rPr>
              <w:t>Balanced funds</w:t>
            </w:r>
          </w:p>
        </w:tc>
        <w:tc>
          <w:tcPr>
            <w:tcW w:w="0" w:type="auto"/>
          </w:tcPr>
          <w:p w:rsidR="006C16CE" w:rsidRPr="008F00C9" w:rsidRDefault="006C16CE" w:rsidP="006C16CE">
            <w:pPr>
              <w:jc w:val="both"/>
              <w:rPr>
                <w:sz w:val="24"/>
                <w:szCs w:val="24"/>
              </w:rPr>
            </w:pPr>
            <w:r w:rsidRPr="008F00C9">
              <w:rPr>
                <w:sz w:val="24"/>
                <w:szCs w:val="24"/>
              </w:rPr>
              <w:t>BT Clasic, Carpatica Global, OTP Balansis</w:t>
            </w:r>
          </w:p>
        </w:tc>
      </w:tr>
      <w:tr w:rsidR="006C16CE" w:rsidRPr="008F00C9" w:rsidTr="00D16CDB">
        <w:tc>
          <w:tcPr>
            <w:tcW w:w="0" w:type="auto"/>
          </w:tcPr>
          <w:p w:rsidR="006C16CE" w:rsidRPr="008F00C9" w:rsidRDefault="00D16CDB" w:rsidP="006C16CE">
            <w:pPr>
              <w:jc w:val="both"/>
              <w:rPr>
                <w:sz w:val="24"/>
                <w:szCs w:val="24"/>
              </w:rPr>
            </w:pPr>
            <w:r>
              <w:rPr>
                <w:sz w:val="24"/>
                <w:szCs w:val="24"/>
              </w:rPr>
              <w:t>Money market funds</w:t>
            </w:r>
          </w:p>
        </w:tc>
        <w:tc>
          <w:tcPr>
            <w:tcW w:w="0" w:type="auto"/>
          </w:tcPr>
          <w:p w:rsidR="006C16CE" w:rsidRPr="008F00C9" w:rsidRDefault="006C16CE" w:rsidP="00434068">
            <w:pPr>
              <w:jc w:val="both"/>
              <w:rPr>
                <w:sz w:val="24"/>
                <w:szCs w:val="24"/>
              </w:rPr>
            </w:pPr>
            <w:r w:rsidRPr="008F00C9">
              <w:rPr>
                <w:sz w:val="24"/>
                <w:szCs w:val="24"/>
              </w:rPr>
              <w:t>Bancpost Plus, iFond monetar, Erste Money Market  RON</w:t>
            </w:r>
          </w:p>
        </w:tc>
      </w:tr>
      <w:tr w:rsidR="006C16CE" w:rsidRPr="008F00C9" w:rsidTr="00D16CDB">
        <w:tc>
          <w:tcPr>
            <w:tcW w:w="0" w:type="auto"/>
          </w:tcPr>
          <w:p w:rsidR="006C16CE" w:rsidRPr="008F00C9" w:rsidRDefault="00D16CDB" w:rsidP="006C16CE">
            <w:pPr>
              <w:jc w:val="both"/>
              <w:rPr>
                <w:sz w:val="24"/>
                <w:szCs w:val="24"/>
              </w:rPr>
            </w:pPr>
            <w:r>
              <w:rPr>
                <w:sz w:val="24"/>
                <w:szCs w:val="24"/>
              </w:rPr>
              <w:t>Bond funds</w:t>
            </w:r>
          </w:p>
        </w:tc>
        <w:tc>
          <w:tcPr>
            <w:tcW w:w="0" w:type="auto"/>
          </w:tcPr>
          <w:p w:rsidR="006C16CE" w:rsidRPr="008F00C9" w:rsidRDefault="006C16CE" w:rsidP="00434068">
            <w:pPr>
              <w:jc w:val="both"/>
              <w:rPr>
                <w:sz w:val="24"/>
                <w:szCs w:val="24"/>
              </w:rPr>
            </w:pPr>
            <w:r w:rsidRPr="008F00C9">
              <w:rPr>
                <w:sz w:val="24"/>
                <w:szCs w:val="24"/>
              </w:rPr>
              <w:t>BT Obligaţiuni, Certinvest Obligaţiuni, Orizont şi Stabilo</w:t>
            </w:r>
          </w:p>
        </w:tc>
      </w:tr>
    </w:tbl>
    <w:p w:rsidR="006C16CE" w:rsidRPr="008F00C9" w:rsidRDefault="006C16CE" w:rsidP="006C16CE">
      <w:pPr>
        <w:spacing w:after="0" w:line="360" w:lineRule="auto"/>
        <w:jc w:val="both"/>
        <w:rPr>
          <w:rFonts w:ascii="Times New Roman" w:hAnsi="Times New Roman" w:cs="Times New Roman"/>
          <w:sz w:val="12"/>
          <w:szCs w:val="12"/>
        </w:rPr>
      </w:pPr>
    </w:p>
    <w:p w:rsidR="006C16CE" w:rsidRPr="008F00C9" w:rsidRDefault="00AC2104" w:rsidP="00AC210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However,</w:t>
      </w:r>
      <w:r w:rsidRPr="00AC2104">
        <w:rPr>
          <w:rFonts w:ascii="Times New Roman" w:hAnsi="Times New Roman" w:cs="Times New Roman"/>
          <w:sz w:val="24"/>
          <w:szCs w:val="24"/>
        </w:rPr>
        <w:t xml:space="preserve"> due to the complexity of efficiency </w:t>
      </w:r>
      <w:r>
        <w:rPr>
          <w:rFonts w:ascii="Times New Roman" w:hAnsi="Times New Roman" w:cs="Times New Roman"/>
          <w:sz w:val="24"/>
          <w:szCs w:val="24"/>
        </w:rPr>
        <w:t>concepts</w:t>
      </w:r>
      <w:r w:rsidRPr="00AC2104">
        <w:rPr>
          <w:rFonts w:ascii="Times New Roman" w:hAnsi="Times New Roman" w:cs="Times New Roman"/>
          <w:sz w:val="24"/>
          <w:szCs w:val="24"/>
        </w:rPr>
        <w:t xml:space="preserve">, the literature has not reached </w:t>
      </w:r>
      <w:r>
        <w:rPr>
          <w:rFonts w:ascii="Times New Roman" w:hAnsi="Times New Roman" w:cs="Times New Roman"/>
          <w:sz w:val="24"/>
          <w:szCs w:val="24"/>
        </w:rPr>
        <w:t>to identify and to appreciate the complete economic efficiency through a single indicator. Therefore, our results will be limited to these two methodologies and will cover only the Romanian market segment of mutual funds during the analyzed period.</w:t>
      </w:r>
    </w:p>
    <w:p w:rsidR="001810A9" w:rsidRPr="008F00C9" w:rsidRDefault="00C02D37" w:rsidP="00C35DD3">
      <w:pPr>
        <w:pStyle w:val="Heading1"/>
      </w:pPr>
      <w:bookmarkStart w:id="36" w:name="_Toc452412569"/>
      <w:r w:rsidRPr="008F00C9">
        <w:lastRenderedPageBreak/>
        <w:t>FINAL REMARKS AND FUTURE RESEARCH PERSPECTIVES</w:t>
      </w:r>
      <w:bookmarkEnd w:id="36"/>
      <w:r w:rsidRPr="008F00C9">
        <w:t xml:space="preserve"> </w:t>
      </w:r>
    </w:p>
    <w:p w:rsidR="00CE20D2" w:rsidRPr="008F00C9" w:rsidRDefault="00CE20D2" w:rsidP="00CE20D2"/>
    <w:p w:rsidR="00506FED" w:rsidRDefault="00506FED" w:rsidP="00506FED">
      <w:pPr>
        <w:shd w:val="clear" w:color="auto" w:fill="FFFFFF"/>
        <w:spacing w:after="12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L</w:t>
      </w:r>
      <w:r w:rsidRPr="00506FED">
        <w:rPr>
          <w:rFonts w:ascii="Times New Roman" w:hAnsi="Times New Roman" w:cs="Times New Roman"/>
          <w:spacing w:val="-4"/>
          <w:sz w:val="24"/>
          <w:szCs w:val="24"/>
        </w:rPr>
        <w:t xml:space="preserve">ast 10 years have </w:t>
      </w:r>
      <w:r>
        <w:rPr>
          <w:rFonts w:ascii="Times New Roman" w:hAnsi="Times New Roman" w:cs="Times New Roman"/>
          <w:spacing w:val="-4"/>
          <w:sz w:val="24"/>
          <w:szCs w:val="24"/>
        </w:rPr>
        <w:t>proven</w:t>
      </w:r>
      <w:r w:rsidRPr="00506FED">
        <w:rPr>
          <w:rFonts w:ascii="Times New Roman" w:hAnsi="Times New Roman" w:cs="Times New Roman"/>
          <w:spacing w:val="-4"/>
          <w:sz w:val="24"/>
          <w:szCs w:val="24"/>
        </w:rPr>
        <w:t xml:space="preserve"> that Romania</w:t>
      </w:r>
      <w:r>
        <w:rPr>
          <w:rFonts w:ascii="Times New Roman" w:hAnsi="Times New Roman" w:cs="Times New Roman"/>
          <w:spacing w:val="-4"/>
          <w:sz w:val="24"/>
          <w:szCs w:val="24"/>
        </w:rPr>
        <w:t>n capital market</w:t>
      </w:r>
      <w:r w:rsidRPr="00506FED">
        <w:rPr>
          <w:rFonts w:ascii="Times New Roman" w:hAnsi="Times New Roman" w:cs="Times New Roman"/>
          <w:spacing w:val="-4"/>
          <w:sz w:val="24"/>
          <w:szCs w:val="24"/>
        </w:rPr>
        <w:t xml:space="preserve"> has joined </w:t>
      </w:r>
      <w:r>
        <w:rPr>
          <w:rFonts w:ascii="Times New Roman" w:hAnsi="Times New Roman" w:cs="Times New Roman"/>
          <w:spacing w:val="-4"/>
          <w:sz w:val="24"/>
          <w:szCs w:val="24"/>
        </w:rPr>
        <w:t>European competition by</w:t>
      </w:r>
      <w:r w:rsidRPr="00506FED">
        <w:rPr>
          <w:rFonts w:ascii="Times New Roman" w:hAnsi="Times New Roman" w:cs="Times New Roman"/>
          <w:spacing w:val="-4"/>
          <w:sz w:val="24"/>
          <w:szCs w:val="24"/>
        </w:rPr>
        <w:t xml:space="preserve"> reducing </w:t>
      </w:r>
      <w:r>
        <w:rPr>
          <w:rFonts w:ascii="Times New Roman" w:hAnsi="Times New Roman" w:cs="Times New Roman"/>
          <w:spacing w:val="-4"/>
          <w:sz w:val="24"/>
          <w:szCs w:val="24"/>
        </w:rPr>
        <w:t>its</w:t>
      </w:r>
      <w:r w:rsidRPr="00506FED">
        <w:rPr>
          <w:rFonts w:ascii="Times New Roman" w:hAnsi="Times New Roman" w:cs="Times New Roman"/>
          <w:spacing w:val="-4"/>
          <w:sz w:val="24"/>
          <w:szCs w:val="24"/>
        </w:rPr>
        <w:t xml:space="preserve"> fragmentation by unifying the regulatory institutions </w:t>
      </w:r>
      <w:r>
        <w:rPr>
          <w:rFonts w:ascii="Times New Roman" w:hAnsi="Times New Roman" w:cs="Times New Roman"/>
          <w:spacing w:val="-4"/>
          <w:sz w:val="24"/>
          <w:szCs w:val="24"/>
        </w:rPr>
        <w:t>under the FSA (starting with 2011)</w:t>
      </w:r>
      <w:r w:rsidRPr="00506FED">
        <w:rPr>
          <w:rFonts w:ascii="Times New Roman" w:hAnsi="Times New Roman" w:cs="Times New Roman"/>
          <w:spacing w:val="-4"/>
          <w:sz w:val="24"/>
          <w:szCs w:val="24"/>
        </w:rPr>
        <w:t xml:space="preserve">. </w:t>
      </w:r>
      <w:r>
        <w:rPr>
          <w:rFonts w:ascii="Times New Roman" w:hAnsi="Times New Roman" w:cs="Times New Roman"/>
          <w:spacing w:val="-4"/>
          <w:sz w:val="24"/>
          <w:szCs w:val="24"/>
        </w:rPr>
        <w:t>Adapting</w:t>
      </w:r>
      <w:r w:rsidRPr="00506FED">
        <w:rPr>
          <w:rFonts w:ascii="Times New Roman" w:hAnsi="Times New Roman" w:cs="Times New Roman"/>
          <w:spacing w:val="-4"/>
          <w:sz w:val="24"/>
          <w:szCs w:val="24"/>
        </w:rPr>
        <w:t xml:space="preserve"> national legislation to the European legislative framework has allowed the removal of discrimina</w:t>
      </w:r>
      <w:r>
        <w:rPr>
          <w:rFonts w:ascii="Times New Roman" w:hAnsi="Times New Roman" w:cs="Times New Roman"/>
          <w:spacing w:val="-4"/>
          <w:sz w:val="24"/>
          <w:szCs w:val="24"/>
        </w:rPr>
        <w:t>tory barriers between EU states</w:t>
      </w:r>
      <w:r w:rsidRPr="00506FED">
        <w:rPr>
          <w:rFonts w:ascii="Times New Roman" w:hAnsi="Times New Roman" w:cs="Times New Roman"/>
          <w:spacing w:val="-4"/>
          <w:sz w:val="24"/>
          <w:szCs w:val="24"/>
        </w:rPr>
        <w:t>, allowing access and authorization of foreign investment</w:t>
      </w:r>
      <w:r>
        <w:rPr>
          <w:rFonts w:ascii="Times New Roman" w:hAnsi="Times New Roman" w:cs="Times New Roman"/>
          <w:spacing w:val="-4"/>
          <w:sz w:val="24"/>
          <w:szCs w:val="24"/>
        </w:rPr>
        <w:t xml:space="preserve"> vehicles on national territory at the same time</w:t>
      </w:r>
      <w:r w:rsidRPr="00506FED">
        <w:rPr>
          <w:rFonts w:ascii="Times New Roman" w:hAnsi="Times New Roman" w:cs="Times New Roman"/>
          <w:spacing w:val="-4"/>
          <w:sz w:val="24"/>
          <w:szCs w:val="24"/>
        </w:rPr>
        <w:t xml:space="preserve"> national fu</w:t>
      </w:r>
      <w:r>
        <w:rPr>
          <w:rFonts w:ascii="Times New Roman" w:hAnsi="Times New Roman" w:cs="Times New Roman"/>
          <w:spacing w:val="-4"/>
          <w:sz w:val="24"/>
          <w:szCs w:val="24"/>
        </w:rPr>
        <w:t xml:space="preserve">nds have been </w:t>
      </w:r>
      <w:r w:rsidRPr="00506FED">
        <w:rPr>
          <w:rFonts w:ascii="Times New Roman" w:hAnsi="Times New Roman" w:cs="Times New Roman"/>
          <w:spacing w:val="-4"/>
          <w:sz w:val="24"/>
          <w:szCs w:val="24"/>
        </w:rPr>
        <w:t>outsourc</w:t>
      </w:r>
      <w:r>
        <w:rPr>
          <w:rFonts w:ascii="Times New Roman" w:hAnsi="Times New Roman" w:cs="Times New Roman"/>
          <w:spacing w:val="-4"/>
          <w:sz w:val="24"/>
          <w:szCs w:val="24"/>
        </w:rPr>
        <w:t xml:space="preserve">ed in the foreign market. </w:t>
      </w:r>
      <w:r w:rsidR="00041F35">
        <w:rPr>
          <w:rFonts w:ascii="Times New Roman" w:hAnsi="Times New Roman" w:cs="Times New Roman"/>
          <w:spacing w:val="-4"/>
          <w:sz w:val="24"/>
          <w:szCs w:val="24"/>
        </w:rPr>
        <w:t>Consequently</w:t>
      </w:r>
      <w:r w:rsidRPr="00506FED">
        <w:rPr>
          <w:rFonts w:ascii="Times New Roman" w:hAnsi="Times New Roman" w:cs="Times New Roman"/>
          <w:spacing w:val="-4"/>
          <w:sz w:val="24"/>
          <w:szCs w:val="24"/>
        </w:rPr>
        <w:t xml:space="preserve">, </w:t>
      </w:r>
      <w:r w:rsidR="00041F35">
        <w:rPr>
          <w:rFonts w:ascii="Times New Roman" w:hAnsi="Times New Roman" w:cs="Times New Roman"/>
          <w:spacing w:val="-4"/>
          <w:sz w:val="24"/>
          <w:szCs w:val="24"/>
        </w:rPr>
        <w:t xml:space="preserve">the Romanian investment funds market has been sustained with a constant growth rate </w:t>
      </w:r>
      <w:r w:rsidRPr="00506FED">
        <w:rPr>
          <w:rFonts w:ascii="Times New Roman" w:hAnsi="Times New Roman" w:cs="Times New Roman"/>
          <w:spacing w:val="-4"/>
          <w:sz w:val="24"/>
          <w:szCs w:val="24"/>
        </w:rPr>
        <w:t xml:space="preserve">both in the number of </w:t>
      </w:r>
      <w:r w:rsidR="00041F35">
        <w:rPr>
          <w:rFonts w:ascii="Times New Roman" w:hAnsi="Times New Roman" w:cs="Times New Roman"/>
          <w:spacing w:val="-4"/>
          <w:sz w:val="24"/>
          <w:szCs w:val="24"/>
        </w:rPr>
        <w:t xml:space="preserve">active </w:t>
      </w:r>
      <w:r w:rsidRPr="00506FED">
        <w:rPr>
          <w:rFonts w:ascii="Times New Roman" w:hAnsi="Times New Roman" w:cs="Times New Roman"/>
          <w:spacing w:val="-4"/>
          <w:sz w:val="24"/>
          <w:szCs w:val="24"/>
        </w:rPr>
        <w:t xml:space="preserve">funds and </w:t>
      </w:r>
      <w:r w:rsidR="00041F35">
        <w:rPr>
          <w:rFonts w:ascii="Times New Roman" w:hAnsi="Times New Roman" w:cs="Times New Roman"/>
          <w:spacing w:val="-4"/>
          <w:sz w:val="24"/>
          <w:szCs w:val="24"/>
        </w:rPr>
        <w:t>in terms of the</w:t>
      </w:r>
      <w:r w:rsidRPr="00506FED">
        <w:rPr>
          <w:rFonts w:ascii="Times New Roman" w:hAnsi="Times New Roman" w:cs="Times New Roman"/>
          <w:spacing w:val="-4"/>
          <w:sz w:val="24"/>
          <w:szCs w:val="24"/>
        </w:rPr>
        <w:t xml:space="preserve"> </w:t>
      </w:r>
      <w:r w:rsidR="00041F35">
        <w:rPr>
          <w:rFonts w:ascii="Times New Roman" w:hAnsi="Times New Roman" w:cs="Times New Roman"/>
          <w:spacing w:val="-4"/>
          <w:sz w:val="24"/>
          <w:szCs w:val="24"/>
        </w:rPr>
        <w:t>total</w:t>
      </w:r>
      <w:r w:rsidRPr="00506FED">
        <w:rPr>
          <w:rFonts w:ascii="Times New Roman" w:hAnsi="Times New Roman" w:cs="Times New Roman"/>
          <w:spacing w:val="-4"/>
          <w:sz w:val="24"/>
          <w:szCs w:val="24"/>
        </w:rPr>
        <w:t xml:space="preserve"> </w:t>
      </w:r>
      <w:r w:rsidR="00041F35">
        <w:rPr>
          <w:rFonts w:ascii="Times New Roman" w:hAnsi="Times New Roman" w:cs="Times New Roman"/>
          <w:spacing w:val="-4"/>
          <w:sz w:val="24"/>
          <w:szCs w:val="24"/>
        </w:rPr>
        <w:t>managed</w:t>
      </w:r>
      <w:r w:rsidR="00041F35" w:rsidRPr="00506FED">
        <w:rPr>
          <w:rFonts w:ascii="Times New Roman" w:hAnsi="Times New Roman" w:cs="Times New Roman"/>
          <w:spacing w:val="-4"/>
          <w:sz w:val="24"/>
          <w:szCs w:val="24"/>
        </w:rPr>
        <w:t xml:space="preserve"> </w:t>
      </w:r>
      <w:r w:rsidRPr="00506FED">
        <w:rPr>
          <w:rFonts w:ascii="Times New Roman" w:hAnsi="Times New Roman" w:cs="Times New Roman"/>
          <w:spacing w:val="-4"/>
          <w:sz w:val="24"/>
          <w:szCs w:val="24"/>
        </w:rPr>
        <w:t>assets</w:t>
      </w:r>
      <w:r w:rsidR="00041F35">
        <w:rPr>
          <w:rFonts w:ascii="Times New Roman" w:hAnsi="Times New Roman" w:cs="Times New Roman"/>
          <w:spacing w:val="-4"/>
          <w:sz w:val="24"/>
          <w:szCs w:val="24"/>
        </w:rPr>
        <w:t xml:space="preserve">, </w:t>
      </w:r>
      <w:r w:rsidRPr="00506FED">
        <w:rPr>
          <w:rFonts w:ascii="Times New Roman" w:hAnsi="Times New Roman" w:cs="Times New Roman"/>
          <w:spacing w:val="-4"/>
          <w:sz w:val="24"/>
          <w:szCs w:val="24"/>
        </w:rPr>
        <w:t xml:space="preserve">without being </w:t>
      </w:r>
      <w:r w:rsidR="00041F35">
        <w:rPr>
          <w:rFonts w:ascii="Times New Roman" w:hAnsi="Times New Roman" w:cs="Times New Roman"/>
          <w:spacing w:val="-4"/>
          <w:sz w:val="24"/>
          <w:szCs w:val="24"/>
        </w:rPr>
        <w:t xml:space="preserve">affected the by the </w:t>
      </w:r>
      <w:r w:rsidR="00041F35" w:rsidRPr="00506FED">
        <w:rPr>
          <w:rFonts w:ascii="Times New Roman" w:hAnsi="Times New Roman" w:cs="Times New Roman"/>
          <w:spacing w:val="-4"/>
          <w:sz w:val="24"/>
          <w:szCs w:val="24"/>
        </w:rPr>
        <w:t>financial</w:t>
      </w:r>
      <w:r w:rsidR="00041F35">
        <w:rPr>
          <w:rFonts w:ascii="Times New Roman" w:hAnsi="Times New Roman" w:cs="Times New Roman"/>
          <w:spacing w:val="-4"/>
          <w:sz w:val="24"/>
          <w:szCs w:val="24"/>
        </w:rPr>
        <w:t xml:space="preserve"> crisis</w:t>
      </w:r>
      <w:r w:rsidRPr="00506FED">
        <w:rPr>
          <w:rFonts w:ascii="Times New Roman" w:hAnsi="Times New Roman" w:cs="Times New Roman"/>
          <w:spacing w:val="-4"/>
          <w:sz w:val="24"/>
          <w:szCs w:val="24"/>
        </w:rPr>
        <w:t xml:space="preserve"> contagion.</w:t>
      </w:r>
    </w:p>
    <w:p w:rsidR="00ED03C9" w:rsidRDefault="00ED03C9" w:rsidP="00ED03C9">
      <w:pPr>
        <w:shd w:val="clear" w:color="auto" w:fill="FFFFFF"/>
        <w:spacing w:after="120" w:line="240" w:lineRule="auto"/>
        <w:jc w:val="both"/>
        <w:rPr>
          <w:rFonts w:ascii="Times New Roman" w:hAnsi="Times New Roman" w:cs="Times New Roman"/>
          <w:spacing w:val="-4"/>
          <w:sz w:val="24"/>
          <w:szCs w:val="24"/>
        </w:rPr>
      </w:pPr>
      <w:r w:rsidRPr="00ED03C9">
        <w:rPr>
          <w:rFonts w:ascii="Times New Roman" w:hAnsi="Times New Roman" w:cs="Times New Roman"/>
          <w:spacing w:val="-4"/>
          <w:sz w:val="24"/>
          <w:szCs w:val="24"/>
        </w:rPr>
        <w:t xml:space="preserve">Although the macroeconomic context </w:t>
      </w:r>
      <w:r>
        <w:rPr>
          <w:rFonts w:ascii="Times New Roman" w:hAnsi="Times New Roman" w:cs="Times New Roman"/>
          <w:spacing w:val="-4"/>
          <w:sz w:val="24"/>
          <w:szCs w:val="24"/>
        </w:rPr>
        <w:t xml:space="preserve">has </w:t>
      </w:r>
      <w:r w:rsidRPr="00ED03C9">
        <w:rPr>
          <w:rFonts w:ascii="Times New Roman" w:hAnsi="Times New Roman" w:cs="Times New Roman"/>
          <w:spacing w:val="-4"/>
          <w:sz w:val="24"/>
          <w:szCs w:val="24"/>
        </w:rPr>
        <w:t xml:space="preserve">imposed a resizing </w:t>
      </w:r>
      <w:r>
        <w:rPr>
          <w:rFonts w:ascii="Times New Roman" w:hAnsi="Times New Roman" w:cs="Times New Roman"/>
          <w:spacing w:val="-4"/>
          <w:sz w:val="24"/>
          <w:szCs w:val="24"/>
        </w:rPr>
        <w:t>effect to</w:t>
      </w:r>
      <w:r w:rsidRPr="00ED03C9">
        <w:rPr>
          <w:rFonts w:ascii="Times New Roman" w:hAnsi="Times New Roman" w:cs="Times New Roman"/>
          <w:spacing w:val="-4"/>
          <w:sz w:val="24"/>
          <w:szCs w:val="24"/>
        </w:rPr>
        <w:t xml:space="preserve"> the national market </w:t>
      </w:r>
      <w:r>
        <w:rPr>
          <w:rFonts w:ascii="Times New Roman" w:hAnsi="Times New Roman" w:cs="Times New Roman"/>
          <w:spacing w:val="-4"/>
          <w:sz w:val="24"/>
          <w:szCs w:val="24"/>
        </w:rPr>
        <w:t xml:space="preserve">of investment funds, we have identified that </w:t>
      </w:r>
      <w:r w:rsidRPr="00ED03C9">
        <w:rPr>
          <w:rFonts w:ascii="Times New Roman" w:hAnsi="Times New Roman" w:cs="Times New Roman"/>
          <w:spacing w:val="-4"/>
          <w:sz w:val="24"/>
          <w:szCs w:val="24"/>
        </w:rPr>
        <w:t xml:space="preserve">the market </w:t>
      </w:r>
      <w:r>
        <w:rPr>
          <w:rFonts w:ascii="Times New Roman" w:hAnsi="Times New Roman" w:cs="Times New Roman"/>
          <w:spacing w:val="-4"/>
          <w:sz w:val="24"/>
          <w:szCs w:val="24"/>
        </w:rPr>
        <w:t xml:space="preserve">is following an upward trending to </w:t>
      </w:r>
      <w:r w:rsidRPr="00ED03C9">
        <w:rPr>
          <w:rFonts w:ascii="Times New Roman" w:hAnsi="Times New Roman" w:cs="Times New Roman"/>
          <w:spacing w:val="-4"/>
          <w:sz w:val="24"/>
          <w:szCs w:val="24"/>
        </w:rPr>
        <w:t>maturity. By acc</w:t>
      </w:r>
      <w:r>
        <w:rPr>
          <w:rFonts w:ascii="Times New Roman" w:hAnsi="Times New Roman" w:cs="Times New Roman"/>
          <w:spacing w:val="-4"/>
          <w:sz w:val="24"/>
          <w:szCs w:val="24"/>
        </w:rPr>
        <w:t>e</w:t>
      </w:r>
      <w:r w:rsidRPr="00ED03C9">
        <w:rPr>
          <w:rFonts w:ascii="Times New Roman" w:hAnsi="Times New Roman" w:cs="Times New Roman"/>
          <w:spacing w:val="-4"/>
          <w:sz w:val="24"/>
          <w:szCs w:val="24"/>
        </w:rPr>
        <w:t xml:space="preserve">eding </w:t>
      </w:r>
      <w:r>
        <w:rPr>
          <w:rFonts w:ascii="Times New Roman" w:hAnsi="Times New Roman" w:cs="Times New Roman"/>
          <w:spacing w:val="-4"/>
          <w:sz w:val="24"/>
          <w:szCs w:val="24"/>
        </w:rPr>
        <w:t>its</w:t>
      </w:r>
      <w:r w:rsidRPr="00ED03C9">
        <w:rPr>
          <w:rFonts w:ascii="Times New Roman" w:hAnsi="Times New Roman" w:cs="Times New Roman"/>
          <w:spacing w:val="-4"/>
          <w:sz w:val="24"/>
          <w:szCs w:val="24"/>
        </w:rPr>
        <w:t xml:space="preserve"> status </w:t>
      </w:r>
      <w:r>
        <w:rPr>
          <w:rFonts w:ascii="Times New Roman" w:hAnsi="Times New Roman" w:cs="Times New Roman"/>
          <w:spacing w:val="-4"/>
          <w:sz w:val="24"/>
          <w:szCs w:val="24"/>
        </w:rPr>
        <w:t xml:space="preserve">from </w:t>
      </w:r>
      <w:r w:rsidRPr="00ED03C9">
        <w:rPr>
          <w:rFonts w:ascii="Times New Roman" w:hAnsi="Times New Roman" w:cs="Times New Roman"/>
          <w:spacing w:val="-4"/>
          <w:sz w:val="24"/>
          <w:szCs w:val="24"/>
        </w:rPr>
        <w:t xml:space="preserve">frontier market into </w:t>
      </w:r>
      <w:r>
        <w:rPr>
          <w:rFonts w:ascii="Times New Roman" w:hAnsi="Times New Roman" w:cs="Times New Roman"/>
          <w:spacing w:val="-4"/>
          <w:sz w:val="24"/>
          <w:szCs w:val="24"/>
        </w:rPr>
        <w:t>emerging area, Romanian mutual fund market was r</w:t>
      </w:r>
      <w:r w:rsidRPr="00ED03C9">
        <w:rPr>
          <w:rFonts w:ascii="Times New Roman" w:hAnsi="Times New Roman" w:cs="Times New Roman"/>
          <w:spacing w:val="-4"/>
          <w:sz w:val="24"/>
          <w:szCs w:val="24"/>
        </w:rPr>
        <w:t>eform</w:t>
      </w:r>
      <w:r>
        <w:rPr>
          <w:rFonts w:ascii="Times New Roman" w:hAnsi="Times New Roman" w:cs="Times New Roman"/>
          <w:spacing w:val="-4"/>
          <w:sz w:val="24"/>
          <w:szCs w:val="24"/>
        </w:rPr>
        <w:t>ed</w:t>
      </w:r>
      <w:r w:rsidRPr="00ED03C9">
        <w:rPr>
          <w:rFonts w:ascii="Times New Roman" w:hAnsi="Times New Roman" w:cs="Times New Roman"/>
          <w:spacing w:val="-4"/>
          <w:sz w:val="24"/>
          <w:szCs w:val="24"/>
        </w:rPr>
        <w:t xml:space="preserve"> </w:t>
      </w:r>
      <w:r>
        <w:rPr>
          <w:rFonts w:ascii="Times New Roman" w:hAnsi="Times New Roman" w:cs="Times New Roman"/>
          <w:spacing w:val="-4"/>
          <w:sz w:val="24"/>
          <w:szCs w:val="24"/>
        </w:rPr>
        <w:t>and as a consequence started to gain capital within market competition</w:t>
      </w:r>
      <w:r w:rsidRPr="00ED03C9">
        <w:rPr>
          <w:rFonts w:ascii="Times New Roman" w:hAnsi="Times New Roman" w:cs="Times New Roman"/>
          <w:spacing w:val="-4"/>
          <w:sz w:val="24"/>
          <w:szCs w:val="24"/>
        </w:rPr>
        <w:t>.</w:t>
      </w:r>
    </w:p>
    <w:p w:rsidR="00ED03C9" w:rsidRDefault="00ED03C9" w:rsidP="00ED03C9">
      <w:pPr>
        <w:shd w:val="clear" w:color="auto" w:fill="FFFFFF"/>
        <w:spacing w:after="12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The undertaken documentation during this research period has shaped a comprehensive study on evaluating the Romanian mutual fund market size and identifying the potential growth of this industry. In our opinion, the Romanian market offers </w:t>
      </w:r>
      <w:r w:rsidR="00145D9C">
        <w:rPr>
          <w:rFonts w:ascii="Times New Roman" w:hAnsi="Times New Roman" w:cs="Times New Roman"/>
          <w:spacing w:val="-4"/>
          <w:sz w:val="24"/>
          <w:szCs w:val="24"/>
        </w:rPr>
        <w:t>various opportunities as it provides positive signals in attracting investors from both local and foreign markets as long as the domestic market was preferred and halted during recession time against other developed economies.</w:t>
      </w:r>
    </w:p>
    <w:p w:rsidR="00145D9C" w:rsidRPr="00145D9C" w:rsidRDefault="00145D9C" w:rsidP="00145D9C">
      <w:pPr>
        <w:pStyle w:val="Caption"/>
        <w:spacing w:before="0" w:beforeAutospacing="0" w:after="120" w:afterAutospacing="0"/>
        <w:jc w:val="both"/>
        <w:rPr>
          <w:spacing w:val="-2"/>
        </w:rPr>
      </w:pPr>
      <w:r>
        <w:rPr>
          <w:spacing w:val="-2"/>
        </w:rPr>
        <w:t xml:space="preserve">Motivated by the fact that not very numerous researches have been carried out over Romanian mutual fund market, we have undertaken this current study in terms of evaluating the radiography of the domestic market in order to understand the implications of these investment vehicles. </w:t>
      </w:r>
      <w:r w:rsidRPr="00145D9C">
        <w:rPr>
          <w:spacing w:val="-2"/>
        </w:rPr>
        <w:t xml:space="preserve">Thus, the conducted research </w:t>
      </w:r>
      <w:r>
        <w:rPr>
          <w:spacing w:val="-2"/>
        </w:rPr>
        <w:t>over the last 10 years evidences is</w:t>
      </w:r>
      <w:r w:rsidRPr="00145D9C">
        <w:rPr>
          <w:spacing w:val="-2"/>
        </w:rPr>
        <w:t xml:space="preserve"> significantly contributing </w:t>
      </w:r>
      <w:r>
        <w:rPr>
          <w:spacing w:val="-2"/>
        </w:rPr>
        <w:t xml:space="preserve">to </w:t>
      </w:r>
      <w:r w:rsidR="0083199F">
        <w:rPr>
          <w:spacing w:val="-2"/>
        </w:rPr>
        <w:t xml:space="preserve">mutual funds research </w:t>
      </w:r>
      <w:r>
        <w:rPr>
          <w:spacing w:val="-2"/>
        </w:rPr>
        <w:t xml:space="preserve">literacy </w:t>
      </w:r>
      <w:r w:rsidR="0083199F">
        <w:rPr>
          <w:spacing w:val="-2"/>
        </w:rPr>
        <w:t>within the following inputs</w:t>
      </w:r>
      <w:r w:rsidRPr="00145D9C">
        <w:rPr>
          <w:spacing w:val="-2"/>
        </w:rPr>
        <w:t>:</w:t>
      </w:r>
    </w:p>
    <w:p w:rsidR="00651079" w:rsidRDefault="0083199F" w:rsidP="008E36E4">
      <w:pPr>
        <w:pStyle w:val="Caption"/>
        <w:numPr>
          <w:ilvl w:val="2"/>
          <w:numId w:val="4"/>
        </w:numPr>
        <w:spacing w:before="0" w:beforeAutospacing="0" w:after="120" w:afterAutospacing="0"/>
        <w:ind w:left="0" w:firstLine="567"/>
        <w:jc w:val="both"/>
      </w:pPr>
      <w:r>
        <w:t>applying and adapting a consistent and wide sample of methods and quantitative techniques for sizing the Romanian mutual fund market, testing and evaluating performance and identifying the main determinants of investment funds development;</w:t>
      </w:r>
    </w:p>
    <w:p w:rsidR="0083199F" w:rsidRDefault="0083199F" w:rsidP="0083199F">
      <w:pPr>
        <w:pStyle w:val="Caption"/>
        <w:numPr>
          <w:ilvl w:val="2"/>
          <w:numId w:val="4"/>
        </w:numPr>
        <w:spacing w:before="0" w:beforeAutospacing="0" w:after="120" w:afterAutospacing="0"/>
        <w:ind w:left="0" w:firstLine="567"/>
        <w:jc w:val="both"/>
      </w:pPr>
      <w:r>
        <w:t xml:space="preserve">aligning </w:t>
      </w:r>
      <w:r w:rsidRPr="0083199F">
        <w:t xml:space="preserve">specific methods of microeconomic efficiency analysis </w:t>
      </w:r>
      <w:r>
        <w:t>i.e.</w:t>
      </w:r>
      <w:r w:rsidRPr="0083199F">
        <w:t xml:space="preserve"> DEA to assess the best performance </w:t>
      </w:r>
      <w:r>
        <w:t>alternatives as well as</w:t>
      </w:r>
      <w:r w:rsidRPr="0083199F">
        <w:t xml:space="preserve"> identify</w:t>
      </w:r>
      <w:r>
        <w:t>ing potential optimal portfolios</w:t>
      </w:r>
      <w:r w:rsidRPr="0083199F">
        <w:t>;</w:t>
      </w:r>
    </w:p>
    <w:p w:rsidR="0083199F" w:rsidRDefault="0083199F" w:rsidP="0083199F">
      <w:pPr>
        <w:pStyle w:val="Caption"/>
        <w:numPr>
          <w:ilvl w:val="2"/>
          <w:numId w:val="4"/>
        </w:numPr>
        <w:spacing w:before="0" w:beforeAutospacing="0" w:after="120" w:afterAutospacing="0"/>
        <w:ind w:left="0" w:firstLine="567"/>
        <w:jc w:val="both"/>
      </w:pPr>
      <w:r>
        <w:t>analyzing the most recent data derived from statistical evidences of national regulatory authorities. The included data are comparable to European and international evidences, being reported to statistics of EFAMA, EVCA and ICI.</w:t>
      </w:r>
    </w:p>
    <w:p w:rsidR="0083199F" w:rsidRDefault="0083199F" w:rsidP="0083199F">
      <w:pPr>
        <w:pStyle w:val="Caption"/>
        <w:spacing w:before="0" w:beforeAutospacing="0" w:after="120" w:afterAutospacing="0"/>
        <w:jc w:val="both"/>
      </w:pPr>
      <w:r>
        <w:t>Under</w:t>
      </w:r>
      <w:r w:rsidRPr="0083199F">
        <w:t xml:space="preserve"> these circumstances, the practical approach of this research is highlighted by assessing the internationalization </w:t>
      </w:r>
      <w:r>
        <w:t xml:space="preserve">degree </w:t>
      </w:r>
      <w:r w:rsidRPr="0083199F">
        <w:t xml:space="preserve">of the </w:t>
      </w:r>
      <w:r>
        <w:t>Romanian mutual funds market, evaluating its</w:t>
      </w:r>
      <w:r w:rsidRPr="0083199F">
        <w:t xml:space="preserve"> effectiveness analysi</w:t>
      </w:r>
      <w:r>
        <w:t>ng</w:t>
      </w:r>
      <w:r w:rsidRPr="0083199F">
        <w:t xml:space="preserve"> the main driving factors and inhibitors of the inve</w:t>
      </w:r>
      <w:r>
        <w:t>stment fund industry in Romania</w:t>
      </w:r>
      <w:r w:rsidRPr="0083199F">
        <w:t>.</w:t>
      </w:r>
    </w:p>
    <w:p w:rsidR="00957853" w:rsidRDefault="00957853" w:rsidP="00957853">
      <w:pPr>
        <w:pStyle w:val="Caption"/>
        <w:spacing w:before="0" w:beforeAutospacing="0" w:after="120" w:afterAutospacing="0"/>
        <w:jc w:val="both"/>
      </w:pPr>
      <w:r w:rsidRPr="00957853">
        <w:t xml:space="preserve">The </w:t>
      </w:r>
      <w:r>
        <w:t xml:space="preserve">conducted </w:t>
      </w:r>
      <w:r w:rsidRPr="00957853">
        <w:t xml:space="preserve">research </w:t>
      </w:r>
      <w:r>
        <w:t>suggests considering the following aspects</w:t>
      </w:r>
      <w:r w:rsidRPr="00957853">
        <w:t xml:space="preserve"> in order to attract investors to support national </w:t>
      </w:r>
      <w:r>
        <w:t>mutual fund market and implicitly the local economy:</w:t>
      </w:r>
      <w:r w:rsidRPr="00957853">
        <w:t xml:space="preserve"> </w:t>
      </w:r>
    </w:p>
    <w:p w:rsidR="00957853" w:rsidRDefault="00957853" w:rsidP="00957853">
      <w:pPr>
        <w:pStyle w:val="Caption"/>
        <w:numPr>
          <w:ilvl w:val="0"/>
          <w:numId w:val="29"/>
        </w:numPr>
        <w:spacing w:before="0" w:beforeAutospacing="0" w:after="120" w:afterAutospacing="0"/>
        <w:jc w:val="both"/>
      </w:pPr>
      <w:r w:rsidRPr="00957853">
        <w:t xml:space="preserve">in the coming period, especially </w:t>
      </w:r>
      <w:r>
        <w:t>on a</w:t>
      </w:r>
      <w:r w:rsidRPr="00957853">
        <w:t xml:space="preserve"> medium </w:t>
      </w:r>
      <w:r>
        <w:t>term</w:t>
      </w:r>
      <w:r w:rsidRPr="00957853">
        <w:t>, i</w:t>
      </w:r>
      <w:r>
        <w:t>.</w:t>
      </w:r>
      <w:r w:rsidRPr="00957853">
        <w:t>e</w:t>
      </w:r>
      <w:r>
        <w:t>.</w:t>
      </w:r>
      <w:r w:rsidRPr="00957853">
        <w:t xml:space="preserve"> during 2015-2017</w:t>
      </w:r>
      <w:r>
        <w:t xml:space="preserve"> period</w:t>
      </w:r>
      <w:r w:rsidRPr="00957853">
        <w:t xml:space="preserve">, the major challenge will continue to constitute </w:t>
      </w:r>
      <w:r>
        <w:t>the</w:t>
      </w:r>
      <w:r w:rsidRPr="00957853">
        <w:t xml:space="preserve"> </w:t>
      </w:r>
      <w:r>
        <w:t xml:space="preserve">national </w:t>
      </w:r>
      <w:r w:rsidRPr="00957853">
        <w:t>capital market anchoring to the international market while simultaneously supporting the revival of lending activity and rebuild</w:t>
      </w:r>
      <w:r>
        <w:t>ing investors</w:t>
      </w:r>
      <w:r w:rsidRPr="00957853">
        <w:t xml:space="preserve"> trust </w:t>
      </w:r>
      <w:r>
        <w:t>into these investment vehicles;</w:t>
      </w:r>
    </w:p>
    <w:p w:rsidR="00957853" w:rsidRDefault="00957853" w:rsidP="00957853">
      <w:pPr>
        <w:pStyle w:val="Caption"/>
        <w:numPr>
          <w:ilvl w:val="0"/>
          <w:numId w:val="29"/>
        </w:numPr>
        <w:spacing w:before="0" w:beforeAutospacing="0" w:after="120" w:afterAutospacing="0"/>
        <w:jc w:val="both"/>
      </w:pPr>
      <w:r w:rsidRPr="00957853">
        <w:lastRenderedPageBreak/>
        <w:t xml:space="preserve">attracting both domestic and foreign capital </w:t>
      </w:r>
      <w:r>
        <w:t>within the local</w:t>
      </w:r>
      <w:r w:rsidRPr="00957853">
        <w:t xml:space="preserve"> investment market </w:t>
      </w:r>
      <w:r>
        <w:t>becomes the</w:t>
      </w:r>
      <w:r w:rsidRPr="00957853">
        <w:t xml:space="preserve"> real path towards the consolidation of investment funds </w:t>
      </w:r>
      <w:r>
        <w:t>while</w:t>
      </w:r>
      <w:r w:rsidRPr="00957853">
        <w:t xml:space="preserve"> support</w:t>
      </w:r>
      <w:r>
        <w:t>ing</w:t>
      </w:r>
      <w:r w:rsidRPr="00957853">
        <w:t xml:space="preserve"> market competition;</w:t>
      </w:r>
    </w:p>
    <w:p w:rsidR="00957853" w:rsidRDefault="00957853" w:rsidP="00957853">
      <w:pPr>
        <w:pStyle w:val="Caption"/>
        <w:numPr>
          <w:ilvl w:val="0"/>
          <w:numId w:val="29"/>
        </w:numPr>
        <w:spacing w:before="0" w:beforeAutospacing="0" w:after="120" w:afterAutospacing="0"/>
        <w:jc w:val="both"/>
      </w:pPr>
      <w:r>
        <w:t>promoting investment funds to</w:t>
      </w:r>
      <w:r w:rsidRPr="00957853">
        <w:t xml:space="preserve"> individual investors as an alternative to traditional </w:t>
      </w:r>
      <w:r>
        <w:t>saving forms</w:t>
      </w:r>
      <w:r w:rsidRPr="00957853">
        <w:t>;</w:t>
      </w:r>
    </w:p>
    <w:p w:rsidR="00957853" w:rsidRDefault="00957853" w:rsidP="00957853">
      <w:pPr>
        <w:pStyle w:val="Caption"/>
        <w:numPr>
          <w:ilvl w:val="0"/>
          <w:numId w:val="29"/>
        </w:numPr>
        <w:spacing w:before="0" w:beforeAutospacing="0" w:after="120" w:afterAutospacing="0"/>
        <w:jc w:val="both"/>
      </w:pPr>
      <w:r w:rsidRPr="00957853">
        <w:t>support</w:t>
      </w:r>
      <w:r>
        <w:t>ing an active</w:t>
      </w:r>
      <w:r w:rsidRPr="00957853">
        <w:t xml:space="preserve"> stock market that </w:t>
      </w:r>
      <w:r>
        <w:t>maintains a direct</w:t>
      </w:r>
      <w:r w:rsidRPr="00957853">
        <w:t xml:space="preserve"> interaction between </w:t>
      </w:r>
      <w:r>
        <w:t>capital</w:t>
      </w:r>
      <w:r w:rsidRPr="00957853">
        <w:t xml:space="preserve"> owners and those in need of resources for business development;</w:t>
      </w:r>
    </w:p>
    <w:p w:rsidR="00957853" w:rsidRDefault="00957853" w:rsidP="00957853">
      <w:pPr>
        <w:pStyle w:val="Caption"/>
        <w:numPr>
          <w:ilvl w:val="0"/>
          <w:numId w:val="29"/>
        </w:numPr>
        <w:spacing w:before="0" w:beforeAutospacing="0" w:after="120" w:afterAutospacing="0"/>
        <w:jc w:val="both"/>
      </w:pPr>
      <w:r w:rsidRPr="00957853">
        <w:t>regain</w:t>
      </w:r>
      <w:r>
        <w:t>ing</w:t>
      </w:r>
      <w:r w:rsidRPr="00957853">
        <w:t xml:space="preserve"> investors</w:t>
      </w:r>
      <w:r>
        <w:t>’ trust</w:t>
      </w:r>
      <w:r w:rsidRPr="00957853">
        <w:t xml:space="preserve"> </w:t>
      </w:r>
      <w:r>
        <w:t>in</w:t>
      </w:r>
      <w:r w:rsidRPr="00957853">
        <w:t xml:space="preserve"> stock market</w:t>
      </w:r>
      <w:r w:rsidR="00D91BFB">
        <w:t xml:space="preserve"> instruments while promoting </w:t>
      </w:r>
      <w:r w:rsidRPr="00957853">
        <w:t xml:space="preserve">caution and reluctance of both investors and </w:t>
      </w:r>
      <w:r w:rsidR="00D91BFB" w:rsidRPr="00957853">
        <w:t xml:space="preserve">national </w:t>
      </w:r>
      <w:r w:rsidRPr="00957853">
        <w:t xml:space="preserve">issuers </w:t>
      </w:r>
      <w:r w:rsidR="00D91BFB">
        <w:t>as these aspects signifinactly</w:t>
      </w:r>
      <w:r w:rsidRPr="00957853">
        <w:t xml:space="preserve"> restrict</w:t>
      </w:r>
      <w:r w:rsidR="00D91BFB">
        <w:t>s</w:t>
      </w:r>
      <w:r w:rsidRPr="00957853">
        <w:t xml:space="preserve"> </w:t>
      </w:r>
      <w:r w:rsidR="00D91BFB">
        <w:t xml:space="preserve">the </w:t>
      </w:r>
      <w:r w:rsidRPr="00957853">
        <w:t>liquidity</w:t>
      </w:r>
      <w:r w:rsidR="00D91BFB">
        <w:t xml:space="preserve"> of the market</w:t>
      </w:r>
      <w:r w:rsidRPr="00957853">
        <w:t>;</w:t>
      </w:r>
    </w:p>
    <w:p w:rsidR="00957853" w:rsidRPr="00957853" w:rsidRDefault="00957853" w:rsidP="00957853">
      <w:pPr>
        <w:pStyle w:val="Caption"/>
        <w:numPr>
          <w:ilvl w:val="0"/>
          <w:numId w:val="29"/>
        </w:numPr>
        <w:spacing w:before="0" w:beforeAutospacing="0" w:after="120" w:afterAutospacing="0"/>
        <w:jc w:val="both"/>
      </w:pPr>
      <w:r w:rsidRPr="00957853">
        <w:t>support</w:t>
      </w:r>
      <w:r w:rsidR="00D91BFB">
        <w:t>ing</w:t>
      </w:r>
      <w:r w:rsidRPr="00957853">
        <w:t xml:space="preserve"> </w:t>
      </w:r>
      <w:r w:rsidR="00D91BFB">
        <w:t xml:space="preserve">an universal </w:t>
      </w:r>
      <w:r w:rsidRPr="00957853">
        <w:t xml:space="preserve">stock market </w:t>
      </w:r>
      <w:r w:rsidR="00D91BFB">
        <w:t>as the next step o</w:t>
      </w:r>
      <w:r w:rsidRPr="00957853">
        <w:t xml:space="preserve">f </w:t>
      </w:r>
      <w:r w:rsidR="00D91BFB">
        <w:t>market consolidation</w:t>
      </w:r>
      <w:r w:rsidRPr="00957853">
        <w:t xml:space="preserve">. Given that the current liquidity is increasing </w:t>
      </w:r>
      <w:r w:rsidR="00D91BFB">
        <w:t xml:space="preserve">and </w:t>
      </w:r>
      <w:r w:rsidRPr="00957853">
        <w:t>macroeconomic balance and economic growth are above the EU average, Romania's stock market prefigure</w:t>
      </w:r>
      <w:r w:rsidR="00D91BFB">
        <w:t>s</w:t>
      </w:r>
      <w:r w:rsidRPr="00957853">
        <w:t xml:space="preserve"> </w:t>
      </w:r>
      <w:r w:rsidR="00D91BFB" w:rsidRPr="00957853">
        <w:t>truly stable conditions</w:t>
      </w:r>
      <w:r w:rsidRPr="00957853">
        <w:t xml:space="preserve">. </w:t>
      </w:r>
    </w:p>
    <w:p w:rsidR="00831354" w:rsidRDefault="00831354" w:rsidP="0083135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We acknowledge that this research is restricted to local market and its results can not be extended to other markets, but it provides a comprehensive and useful guidance material to anyone interested </w:t>
      </w:r>
      <w:r w:rsidRPr="00831354">
        <w:rPr>
          <w:rFonts w:ascii="Times New Roman" w:hAnsi="Times New Roman" w:cs="Times New Roman"/>
          <w:sz w:val="24"/>
          <w:szCs w:val="24"/>
        </w:rPr>
        <w:t>in investments</w:t>
      </w:r>
      <w:r>
        <w:rPr>
          <w:rFonts w:ascii="Times New Roman" w:hAnsi="Times New Roman" w:cs="Times New Roman"/>
          <w:sz w:val="24"/>
          <w:szCs w:val="24"/>
        </w:rPr>
        <w:t>. At the same time, the theme is attractive to all specialists</w:t>
      </w:r>
      <w:r w:rsidRPr="00831354">
        <w:rPr>
          <w:rFonts w:ascii="Times New Roman" w:hAnsi="Times New Roman" w:cs="Times New Roman"/>
          <w:sz w:val="24"/>
          <w:szCs w:val="24"/>
        </w:rPr>
        <w:t xml:space="preserve"> </w:t>
      </w:r>
      <w:r>
        <w:rPr>
          <w:rFonts w:ascii="Times New Roman" w:hAnsi="Times New Roman" w:cs="Times New Roman"/>
          <w:sz w:val="24"/>
          <w:szCs w:val="24"/>
        </w:rPr>
        <w:t>and this</w:t>
      </w:r>
      <w:r w:rsidRPr="00831354">
        <w:rPr>
          <w:rFonts w:ascii="Times New Roman" w:hAnsi="Times New Roman" w:cs="Times New Roman"/>
          <w:sz w:val="24"/>
          <w:szCs w:val="24"/>
        </w:rPr>
        <w:t xml:space="preserve"> research </w:t>
      </w:r>
      <w:r>
        <w:rPr>
          <w:rFonts w:ascii="Times New Roman" w:hAnsi="Times New Roman" w:cs="Times New Roman"/>
          <w:sz w:val="24"/>
          <w:szCs w:val="24"/>
        </w:rPr>
        <w:t xml:space="preserve">is </w:t>
      </w:r>
      <w:r w:rsidRPr="00831354">
        <w:rPr>
          <w:rFonts w:ascii="Times New Roman" w:hAnsi="Times New Roman" w:cs="Times New Roman"/>
          <w:sz w:val="24"/>
          <w:szCs w:val="24"/>
        </w:rPr>
        <w:t>foreshadow</w:t>
      </w:r>
      <w:r>
        <w:rPr>
          <w:rFonts w:ascii="Times New Roman" w:hAnsi="Times New Roman" w:cs="Times New Roman"/>
          <w:sz w:val="24"/>
          <w:szCs w:val="24"/>
        </w:rPr>
        <w:t>ing</w:t>
      </w:r>
      <w:r w:rsidRPr="00831354">
        <w:rPr>
          <w:rFonts w:ascii="Times New Roman" w:hAnsi="Times New Roman" w:cs="Times New Roman"/>
          <w:sz w:val="24"/>
          <w:szCs w:val="24"/>
        </w:rPr>
        <w:t xml:space="preserve"> a complex radiography </w:t>
      </w:r>
      <w:r>
        <w:rPr>
          <w:rFonts w:ascii="Times New Roman" w:hAnsi="Times New Roman" w:cs="Times New Roman"/>
          <w:sz w:val="24"/>
          <w:szCs w:val="24"/>
        </w:rPr>
        <w:t>of the national investment fund market.</w:t>
      </w:r>
    </w:p>
    <w:p w:rsidR="00831354" w:rsidRDefault="00831354" w:rsidP="0083135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As this topic will continue to be debated, our future studies co</w:t>
      </w:r>
      <w:r w:rsidR="00746402">
        <w:rPr>
          <w:rFonts w:ascii="Times New Roman" w:hAnsi="Times New Roman" w:cs="Times New Roman"/>
          <w:sz w:val="24"/>
          <w:szCs w:val="24"/>
        </w:rPr>
        <w:t>uld be directed towards widening the research on the determinants of efficiency and inefficiency. In this way, we can validate if the current results are relevant and the observed units are truly efficient or inefficient in relation to other investment vehicles.</w:t>
      </w:r>
    </w:p>
    <w:p w:rsidR="00746402" w:rsidRDefault="00746402" w:rsidP="00831354">
      <w:pPr>
        <w:spacing w:after="120" w:line="240" w:lineRule="auto"/>
        <w:jc w:val="both"/>
        <w:rPr>
          <w:rFonts w:ascii="Times New Roman" w:hAnsi="Times New Roman" w:cs="Times New Roman"/>
          <w:sz w:val="24"/>
          <w:szCs w:val="24"/>
        </w:rPr>
      </w:pPr>
    </w:p>
    <w:p w:rsidR="00FB75A4" w:rsidRPr="008F00C9" w:rsidRDefault="00C02D37" w:rsidP="00C35DD3">
      <w:pPr>
        <w:pStyle w:val="Heading1"/>
      </w:pPr>
      <w:bookmarkStart w:id="37" w:name="_Toc452412570"/>
      <w:r w:rsidRPr="008F00C9">
        <w:t>BIBLIOGRAPHY OF CITED SOURCES</w:t>
      </w:r>
      <w:bookmarkEnd w:id="37"/>
    </w:p>
    <w:sdt>
      <w:sdtPr>
        <w:rPr>
          <w:rFonts w:eastAsiaTheme="minorHAnsi"/>
          <w:b/>
          <w:bCs/>
        </w:rPr>
        <w:id w:val="43418183"/>
        <w:docPartObj>
          <w:docPartGallery w:val="Bibliographies"/>
          <w:docPartUnique/>
        </w:docPartObj>
      </w:sdtPr>
      <w:sdtEndPr>
        <w:rPr>
          <w:rFonts w:eastAsiaTheme="minorEastAsia"/>
          <w:b w:val="0"/>
          <w:bCs w:val="0"/>
        </w:rPr>
      </w:sdtEndPr>
      <w:sdtContent>
        <w:p w:rsidR="00CE20D2" w:rsidRPr="008F00C9" w:rsidRDefault="00CE20D2" w:rsidP="00CE20D2">
          <w:pPr>
            <w:pStyle w:val="Bibliography"/>
            <w:spacing w:after="120" w:line="240" w:lineRule="auto"/>
          </w:pP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Allderdice, FB &amp; Farrar, DE 1967, 'Factors that affect mutual fund growth, Working Paper', Alfred P. Sloan School of Management, Massachusetts Institute of Technology, Massachusetts.</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Antunes, AG 2007, 'The determinants of mutual fund size. A cross-country analysis. Dissertation paper for the degree of Master in Finance', Instituto Superior de Ciencias do Trabalho e da Empresa, Portugal.</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Arsani, A 2015, 'Despre oportunitățile de investiții în România', </w:t>
          </w:r>
          <w:r w:rsidRPr="008F00C9">
            <w:rPr>
              <w:rFonts w:ascii="Times New Roman" w:hAnsi="Times New Roman" w:cs="Times New Roman"/>
              <w:i/>
              <w:iCs/>
              <w:noProof/>
              <w:sz w:val="20"/>
              <w:szCs w:val="20"/>
            </w:rPr>
            <w:t>Piața financiară</w:t>
          </w:r>
          <w:r w:rsidRPr="008F00C9">
            <w:rPr>
              <w:rFonts w:ascii="Times New Roman" w:hAnsi="Times New Roman" w:cs="Times New Roman"/>
              <w:noProof/>
              <w:sz w:val="20"/>
              <w:szCs w:val="20"/>
            </w:rPr>
            <w:t>, Martie 2015, pp. 74-75.</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Babin, CE &amp; Donovan, WJ 2000, </w:t>
          </w:r>
          <w:r w:rsidRPr="008F00C9">
            <w:rPr>
              <w:rFonts w:ascii="Times New Roman" w:hAnsi="Times New Roman" w:cs="Times New Roman"/>
              <w:i/>
              <w:iCs/>
              <w:noProof/>
              <w:sz w:val="20"/>
              <w:szCs w:val="20"/>
            </w:rPr>
            <w:t>Investing secrets of the matters. Applying classical investment ideas to today's turbulent market</w:t>
          </w:r>
          <w:r w:rsidRPr="008F00C9">
            <w:rPr>
              <w:rFonts w:ascii="Times New Roman" w:hAnsi="Times New Roman" w:cs="Times New Roman"/>
              <w:noProof/>
              <w:sz w:val="20"/>
              <w:szCs w:val="20"/>
            </w:rPr>
            <w:t>, Editura McGrawHill USA, SUA.</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Badea, GD 2000, </w:t>
          </w:r>
          <w:r w:rsidRPr="008F00C9">
            <w:rPr>
              <w:rFonts w:ascii="Times New Roman" w:hAnsi="Times New Roman" w:cs="Times New Roman"/>
              <w:i/>
              <w:iCs/>
              <w:noProof/>
              <w:sz w:val="20"/>
              <w:szCs w:val="20"/>
            </w:rPr>
            <w:t>Piaţa de capital şi restructurarea economică</w:t>
          </w:r>
          <w:r w:rsidRPr="008F00C9">
            <w:rPr>
              <w:rFonts w:ascii="Times New Roman" w:hAnsi="Times New Roman" w:cs="Times New Roman"/>
              <w:noProof/>
              <w:sz w:val="20"/>
              <w:szCs w:val="20"/>
            </w:rPr>
            <w:t>, Editura Economică, Bucureşti.</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Badunenko, O, Barasinska, N &amp; Schäfer, D 2009, 'Determinants of Private Equity Investment in European Companies', </w:t>
          </w:r>
          <w:r w:rsidRPr="008F00C9">
            <w:rPr>
              <w:rFonts w:ascii="Times New Roman" w:hAnsi="Times New Roman" w:cs="Times New Roman"/>
              <w:i/>
              <w:iCs/>
              <w:noProof/>
              <w:sz w:val="20"/>
              <w:szCs w:val="20"/>
            </w:rPr>
            <w:t>Available at SSRN 1342642</w:t>
          </w:r>
          <w:r w:rsidRPr="008F00C9">
            <w:rPr>
              <w:rFonts w:ascii="Times New Roman" w:hAnsi="Times New Roman" w:cs="Times New Roman"/>
              <w:noProof/>
              <w:sz w:val="20"/>
              <w:szCs w:val="20"/>
            </w:rPr>
            <w:t>.</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Băileşteanu, G 1998, </w:t>
          </w:r>
          <w:r w:rsidRPr="008F00C9">
            <w:rPr>
              <w:rFonts w:ascii="Times New Roman" w:hAnsi="Times New Roman" w:cs="Times New Roman"/>
              <w:i/>
              <w:iCs/>
              <w:noProof/>
              <w:sz w:val="20"/>
              <w:szCs w:val="20"/>
            </w:rPr>
            <w:t>Diagnostic, risc şi eficienţă în afaceri, Ediţia a II-a</w:t>
          </w:r>
          <w:r w:rsidRPr="008F00C9">
            <w:rPr>
              <w:rFonts w:ascii="Times New Roman" w:hAnsi="Times New Roman" w:cs="Times New Roman"/>
              <w:noProof/>
              <w:sz w:val="20"/>
              <w:szCs w:val="20"/>
            </w:rPr>
            <w:t>, Editura Mirton Timişoara, Timişoara.</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Barna, F 2004, </w:t>
          </w:r>
          <w:r w:rsidRPr="008F00C9">
            <w:rPr>
              <w:rFonts w:ascii="Times New Roman" w:hAnsi="Times New Roman" w:cs="Times New Roman"/>
              <w:i/>
              <w:iCs/>
              <w:noProof/>
              <w:sz w:val="20"/>
              <w:szCs w:val="20"/>
            </w:rPr>
            <w:t>Piaţa de capital. Analize şi strategii investiţionale</w:t>
          </w:r>
          <w:r w:rsidRPr="008F00C9">
            <w:rPr>
              <w:rFonts w:ascii="Times New Roman" w:hAnsi="Times New Roman" w:cs="Times New Roman"/>
              <w:noProof/>
              <w:sz w:val="20"/>
              <w:szCs w:val="20"/>
            </w:rPr>
            <w:t>, Editura Universităţii de Vest, Timişoara.</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Bello, ZY 2005, 'Social responsible investing and portfolio divestment', </w:t>
          </w:r>
          <w:r w:rsidRPr="008F00C9">
            <w:rPr>
              <w:rFonts w:ascii="Times New Roman" w:hAnsi="Times New Roman" w:cs="Times New Roman"/>
              <w:i/>
              <w:iCs/>
              <w:noProof/>
              <w:sz w:val="20"/>
              <w:szCs w:val="20"/>
            </w:rPr>
            <w:t>Journal of Financial Research</w:t>
          </w:r>
          <w:r w:rsidRPr="008F00C9">
            <w:rPr>
              <w:rFonts w:ascii="Times New Roman" w:hAnsi="Times New Roman" w:cs="Times New Roman"/>
              <w:noProof/>
              <w:sz w:val="20"/>
              <w:szCs w:val="20"/>
            </w:rPr>
            <w:t>.</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Bengtsson, E 2007, 'A history of Scandinavian socially responsible investing', </w:t>
          </w:r>
          <w:r w:rsidRPr="008F00C9">
            <w:rPr>
              <w:rFonts w:ascii="Times New Roman" w:hAnsi="Times New Roman" w:cs="Times New Roman"/>
              <w:i/>
              <w:iCs/>
              <w:noProof/>
              <w:sz w:val="20"/>
              <w:szCs w:val="20"/>
            </w:rPr>
            <w:t>Journal of Business Ethics</w:t>
          </w:r>
          <w:r w:rsidRPr="008F00C9">
            <w:rPr>
              <w:rFonts w:ascii="Times New Roman" w:hAnsi="Times New Roman" w:cs="Times New Roman"/>
              <w:noProof/>
              <w:sz w:val="20"/>
              <w:szCs w:val="20"/>
            </w:rPr>
            <w:t>.</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Călugăru, A &amp; Cistelecan, L 2007, 'TD. Fondurile de investiţii pe piaţa financiară a României', FSEGA - UBB Cluj Napoca, Cluj Napoca.</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Câmpianu, B 2012, 'Dezvoltarea pieţei de capital', </w:t>
          </w:r>
          <w:r w:rsidRPr="008F00C9">
            <w:rPr>
              <w:rFonts w:ascii="Times New Roman" w:hAnsi="Times New Roman" w:cs="Times New Roman"/>
              <w:i/>
              <w:iCs/>
              <w:noProof/>
              <w:sz w:val="20"/>
              <w:szCs w:val="20"/>
            </w:rPr>
            <w:t>Revista MONITOR STRATEGIC, Institutul pentru Studii Politice de Apărare şi Istorie Militară, Sectiunea Securitatea Economica a Romaniei, Comunicare susţinută în cadrul „Proiectului Foişor”, 24 aprilie 2012</w:t>
          </w:r>
          <w:r w:rsidRPr="008F00C9">
            <w:rPr>
              <w:rFonts w:ascii="Times New Roman" w:hAnsi="Times New Roman" w:cs="Times New Roman"/>
              <w:noProof/>
              <w:sz w:val="20"/>
              <w:szCs w:val="20"/>
            </w:rPr>
            <w:t>, p. Bucureşti.</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lastRenderedPageBreak/>
            <w:t xml:space="preserve">Chirileasa, A 2010, 'Primele trei fonduri au mai multe fonduri decat toata bursa', </w:t>
          </w:r>
          <w:r w:rsidRPr="008F00C9">
            <w:rPr>
              <w:rFonts w:ascii="Times New Roman" w:hAnsi="Times New Roman" w:cs="Times New Roman"/>
              <w:i/>
              <w:iCs/>
              <w:noProof/>
              <w:sz w:val="20"/>
              <w:szCs w:val="20"/>
            </w:rPr>
            <w:t>Ziarul Financiar</w:t>
          </w:r>
          <w:r w:rsidRPr="008F00C9">
            <w:rPr>
              <w:rFonts w:ascii="Times New Roman" w:hAnsi="Times New Roman" w:cs="Times New Roman"/>
              <w:noProof/>
              <w:sz w:val="20"/>
              <w:szCs w:val="20"/>
            </w:rPr>
            <w:t>, 27 Jul. 2010, last accessed at 10.05.2011.</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Clinca, G 2015, 'Așteptam o reorietare către fondurile de acțiuni', </w:t>
          </w:r>
          <w:r w:rsidRPr="008F00C9">
            <w:rPr>
              <w:rFonts w:ascii="Times New Roman" w:hAnsi="Times New Roman" w:cs="Times New Roman"/>
              <w:i/>
              <w:iCs/>
              <w:noProof/>
              <w:sz w:val="20"/>
              <w:szCs w:val="20"/>
            </w:rPr>
            <w:t>Piața financiară</w:t>
          </w:r>
          <w:r w:rsidRPr="008F00C9">
            <w:rPr>
              <w:rFonts w:ascii="Times New Roman" w:hAnsi="Times New Roman" w:cs="Times New Roman"/>
              <w:noProof/>
              <w:sz w:val="20"/>
              <w:szCs w:val="20"/>
            </w:rPr>
            <w:t>, Martie 2015, pp. 72-73.</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Clinca, G 2015, 'Certinvest își dezvoltă veleitățile de grup financiar', </w:t>
          </w:r>
          <w:r w:rsidRPr="008F00C9">
            <w:rPr>
              <w:rFonts w:ascii="Times New Roman" w:hAnsi="Times New Roman" w:cs="Times New Roman"/>
              <w:i/>
              <w:iCs/>
              <w:noProof/>
              <w:sz w:val="20"/>
              <w:szCs w:val="20"/>
            </w:rPr>
            <w:t>Piața financiară</w:t>
          </w:r>
          <w:r w:rsidRPr="008F00C9">
            <w:rPr>
              <w:rFonts w:ascii="Times New Roman" w:hAnsi="Times New Roman" w:cs="Times New Roman"/>
              <w:noProof/>
              <w:sz w:val="20"/>
              <w:szCs w:val="20"/>
            </w:rPr>
            <w:t>, Martie 2015, pp. 68-69.</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Copp, K, Kremmer, M &amp; Roca, E 2010, 'Should fund invest in socially responsible investments during downturns? Financial and legal implications', </w:t>
          </w:r>
          <w:r w:rsidRPr="008F00C9">
            <w:rPr>
              <w:rFonts w:ascii="Times New Roman" w:hAnsi="Times New Roman" w:cs="Times New Roman"/>
              <w:i/>
              <w:iCs/>
              <w:noProof/>
              <w:sz w:val="20"/>
              <w:szCs w:val="20"/>
            </w:rPr>
            <w:t>Oxford Business Knowledge, Oxford Business &amp; Economics Conference Program, June 28-29, 2010</w:t>
          </w:r>
          <w:r w:rsidRPr="008F00C9">
            <w:rPr>
              <w:rFonts w:ascii="Times New Roman" w:hAnsi="Times New Roman" w:cs="Times New Roman"/>
              <w:noProof/>
              <w:sz w:val="20"/>
              <w:szCs w:val="20"/>
            </w:rPr>
            <w:t>.</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Corduneanu, C &amp; Ţurcaş, DL 2009, 'Performanţa fondurilor deschise de investiţii din România în contextul crizei financiare', </w:t>
          </w:r>
          <w:r w:rsidRPr="008F00C9">
            <w:rPr>
              <w:rFonts w:ascii="Times New Roman" w:hAnsi="Times New Roman" w:cs="Times New Roman"/>
              <w:i/>
              <w:iCs/>
              <w:noProof/>
              <w:sz w:val="20"/>
              <w:szCs w:val="20"/>
            </w:rPr>
            <w:t>Revista de Economie Teoretică şi Aplicată</w:t>
          </w:r>
          <w:r w:rsidRPr="008F00C9">
            <w:rPr>
              <w:rFonts w:ascii="Times New Roman" w:hAnsi="Times New Roman" w:cs="Times New Roman"/>
              <w:noProof/>
              <w:sz w:val="20"/>
              <w:szCs w:val="20"/>
            </w:rPr>
            <w:t>, p. 26.</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Costică, M 2004, </w:t>
          </w:r>
          <w:r w:rsidRPr="008F00C9">
            <w:rPr>
              <w:rFonts w:ascii="Times New Roman" w:hAnsi="Times New Roman" w:cs="Times New Roman"/>
              <w:i/>
              <w:iCs/>
              <w:noProof/>
              <w:sz w:val="20"/>
              <w:szCs w:val="20"/>
            </w:rPr>
            <w:t>Fiscalitate-investiţii. Analiză şi modelare econometrică</w:t>
          </w:r>
          <w:r w:rsidRPr="008F00C9">
            <w:rPr>
              <w:rFonts w:ascii="Times New Roman" w:hAnsi="Times New Roman" w:cs="Times New Roman"/>
              <w:noProof/>
              <w:sz w:val="20"/>
              <w:szCs w:val="20"/>
            </w:rPr>
            <w:t>, Editura Junimea, Iaşi.</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Covrig, V, Ng, LK &amp; Chan, K 2004, 'What determines the domestic bias and foreign bias? Evidence from Equity Mutual Fund Allocations Worldwide', </w:t>
          </w:r>
          <w:r w:rsidRPr="008F00C9">
            <w:rPr>
              <w:rFonts w:ascii="Times New Roman" w:hAnsi="Times New Roman" w:cs="Times New Roman"/>
              <w:i/>
              <w:iCs/>
              <w:noProof/>
              <w:sz w:val="20"/>
              <w:szCs w:val="20"/>
            </w:rPr>
            <w:t>EFA 2004, Maastricht Meetings Paper No. 2527, March 2004</w:t>
          </w:r>
          <w:r w:rsidRPr="008F00C9">
            <w:rPr>
              <w:rFonts w:ascii="Times New Roman" w:hAnsi="Times New Roman" w:cs="Times New Roman"/>
              <w:noProof/>
              <w:sz w:val="20"/>
              <w:szCs w:val="20"/>
            </w:rPr>
            <w:t>, EFA, Available at SSRN. Abstract ID: 404780.</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Damodaran, A 2009, 'Volatility rules. Evaluing Emerging Market Companies', </w:t>
          </w:r>
          <w:r w:rsidRPr="008F00C9">
            <w:rPr>
              <w:rFonts w:ascii="Times New Roman" w:hAnsi="Times New Roman" w:cs="Times New Roman"/>
              <w:i/>
              <w:iCs/>
              <w:noProof/>
              <w:sz w:val="20"/>
              <w:szCs w:val="20"/>
            </w:rPr>
            <w:t>Available at SSRN.1609797</w:t>
          </w:r>
          <w:r w:rsidRPr="008F00C9">
            <w:rPr>
              <w:rFonts w:ascii="Times New Roman" w:hAnsi="Times New Roman" w:cs="Times New Roman"/>
              <w:noProof/>
              <w:sz w:val="20"/>
              <w:szCs w:val="20"/>
            </w:rPr>
            <w:t>.</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Dardac, N &amp; Moinescu, B 2006, 'Evaluarea managementului institutiilor de credit prin metode cantitative', </w:t>
          </w:r>
          <w:r w:rsidRPr="008F00C9">
            <w:rPr>
              <w:rFonts w:ascii="Times New Roman" w:hAnsi="Times New Roman" w:cs="Times New Roman"/>
              <w:i/>
              <w:iCs/>
              <w:noProof/>
              <w:sz w:val="20"/>
              <w:szCs w:val="20"/>
            </w:rPr>
            <w:t>Revista de Economie teoretica si aplicata ECTAP, No 2.</w:t>
          </w:r>
          <w:r w:rsidRPr="008F00C9">
            <w:rPr>
              <w:rFonts w:ascii="Times New Roman" w:hAnsi="Times New Roman" w:cs="Times New Roman"/>
              <w:noProof/>
              <w:sz w:val="20"/>
              <w:szCs w:val="20"/>
            </w:rPr>
            <w:t>, 2006.</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Dash, M &amp; Dinesh, KG 2008, 'A study on the effect of macroeconomic variables on Indian mutual funds', </w:t>
          </w:r>
          <w:r w:rsidRPr="008F00C9">
            <w:rPr>
              <w:rFonts w:ascii="Times New Roman" w:hAnsi="Times New Roman" w:cs="Times New Roman"/>
              <w:i/>
              <w:iCs/>
              <w:noProof/>
              <w:sz w:val="20"/>
              <w:szCs w:val="20"/>
            </w:rPr>
            <w:t>Available at SSRN. 1316442</w:t>
          </w:r>
          <w:r w:rsidRPr="008F00C9">
            <w:rPr>
              <w:rFonts w:ascii="Times New Roman" w:hAnsi="Times New Roman" w:cs="Times New Roman"/>
              <w:noProof/>
              <w:sz w:val="20"/>
              <w:szCs w:val="20"/>
            </w:rPr>
            <w:t>.</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Del Guercio, D &amp; Tkac, PA 2000, 'The determinants of the flow of funds of managed portfolios: mutual funds versus pension funds', FRB Atlanta Working Paper 2000-21, Available at SSNR. 166431.</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Deloitte &amp; Touche 2014, 'UCITS Development', Lync,n Learn Report, Leading business advisors, Deloitte &amp; Touche.</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Deloitte May 2014, 'Hitting the right notes. Central Europe Private Equity confidence index', Report, Deloitte.</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Devetski, T 2004, </w:t>
          </w:r>
          <w:r w:rsidRPr="008F00C9">
            <w:rPr>
              <w:rFonts w:ascii="Times New Roman" w:hAnsi="Times New Roman" w:cs="Times New Roman"/>
              <w:i/>
              <w:iCs/>
              <w:noProof/>
              <w:sz w:val="20"/>
              <w:szCs w:val="20"/>
            </w:rPr>
            <w:t>Taxation of individual investors in Private Investment funds</w:t>
          </w:r>
          <w:r w:rsidRPr="008F00C9">
            <w:rPr>
              <w:rFonts w:ascii="Times New Roman" w:hAnsi="Times New Roman" w:cs="Times New Roman"/>
              <w:noProof/>
              <w:sz w:val="20"/>
              <w:szCs w:val="20"/>
            </w:rPr>
            <w:t>, 2004th edn, ICBA Series.</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Diaconasu, DE 2014, </w:t>
          </w:r>
          <w:r w:rsidRPr="008F00C9">
            <w:rPr>
              <w:rFonts w:ascii="Times New Roman" w:hAnsi="Times New Roman" w:cs="Times New Roman"/>
              <w:i/>
              <w:iCs/>
              <w:noProof/>
              <w:sz w:val="20"/>
              <w:szCs w:val="20"/>
            </w:rPr>
            <w:t>Dinamica pietelor de capital emergente</w:t>
          </w:r>
          <w:r w:rsidRPr="008F00C9">
            <w:rPr>
              <w:rFonts w:ascii="Times New Roman" w:hAnsi="Times New Roman" w:cs="Times New Roman"/>
              <w:noProof/>
              <w:sz w:val="20"/>
              <w:szCs w:val="20"/>
            </w:rPr>
            <w:t>, Editura Universitatii Alexandru Ioan Cuza Iasi, Iasi.</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Diaconaşu, DE &amp; Asăvoaei, A 2011, 'The Role of Investment Funds in Romania.', </w:t>
          </w:r>
          <w:r w:rsidRPr="008F00C9">
            <w:rPr>
              <w:rFonts w:ascii="Times New Roman" w:hAnsi="Times New Roman" w:cs="Times New Roman"/>
              <w:i/>
              <w:iCs/>
              <w:noProof/>
              <w:sz w:val="20"/>
              <w:szCs w:val="20"/>
            </w:rPr>
            <w:t>Romanian Economic Journal, 14(39)</w:t>
          </w:r>
          <w:r w:rsidRPr="008F00C9">
            <w:rPr>
              <w:rFonts w:ascii="Times New Roman" w:hAnsi="Times New Roman" w:cs="Times New Roman"/>
              <w:noProof/>
              <w:sz w:val="20"/>
              <w:szCs w:val="20"/>
            </w:rPr>
            <w:t>, pp. 45-59.</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Diaconiţa (Enciu), M &amp; Basno, C 2003, 'TD. Tendinţe actuale în orientarea şi diversificarea plasamentelor de capital', ASE Bucureşti, Bucureşti.</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Diaconu, M 2012, 'Caracteristici şi factori cu impact asupra activităţii investiţionale a capitalurilor de risc în România', </w:t>
          </w:r>
          <w:r w:rsidRPr="008F00C9">
            <w:rPr>
              <w:rFonts w:ascii="Times New Roman" w:hAnsi="Times New Roman" w:cs="Times New Roman"/>
              <w:i/>
              <w:iCs/>
              <w:noProof/>
              <w:sz w:val="20"/>
              <w:szCs w:val="20"/>
            </w:rPr>
            <w:t>Revista de Economie Teoretică şi Aplicată, Vol XIX, No.7, Issue 572</w:t>
          </w:r>
          <w:r w:rsidRPr="008F00C9">
            <w:rPr>
              <w:rFonts w:ascii="Times New Roman" w:hAnsi="Times New Roman" w:cs="Times New Roman"/>
              <w:noProof/>
              <w:sz w:val="20"/>
              <w:szCs w:val="20"/>
            </w:rPr>
            <w:t>, pp. 93-114.</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Duhnea, C &amp; Mitrescu, SG 2009, 'Finantarea corporatiilor prin emisiuni de obligatiuni pe piata de capital din Romania', </w:t>
          </w:r>
          <w:r w:rsidRPr="008F00C9">
            <w:rPr>
              <w:rFonts w:ascii="Times New Roman" w:hAnsi="Times New Roman" w:cs="Times New Roman"/>
              <w:i/>
              <w:iCs/>
              <w:noProof/>
              <w:sz w:val="20"/>
              <w:szCs w:val="20"/>
            </w:rPr>
            <w:t>Revista de Economie Teoretica si Aplicata</w:t>
          </w:r>
          <w:r w:rsidRPr="008F00C9">
            <w:rPr>
              <w:rFonts w:ascii="Times New Roman" w:hAnsi="Times New Roman" w:cs="Times New Roman"/>
              <w:noProof/>
              <w:sz w:val="20"/>
              <w:szCs w:val="20"/>
            </w:rPr>
            <w:t>, p. 647.</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Dumitriu, I 2015, 'Inflația și dobanzile la minime istorice susțin audiența fondurilor mutuale. Fondurile deschise trimit în cozi depozitul bancar', </w:t>
          </w:r>
          <w:r w:rsidRPr="008F00C9">
            <w:rPr>
              <w:rFonts w:ascii="Times New Roman" w:hAnsi="Times New Roman" w:cs="Times New Roman"/>
              <w:i/>
              <w:iCs/>
              <w:noProof/>
              <w:sz w:val="20"/>
              <w:szCs w:val="20"/>
            </w:rPr>
            <w:t>Piața financiară</w:t>
          </w:r>
          <w:r w:rsidRPr="008F00C9">
            <w:rPr>
              <w:rFonts w:ascii="Times New Roman" w:hAnsi="Times New Roman" w:cs="Times New Roman"/>
              <w:noProof/>
              <w:sz w:val="20"/>
              <w:szCs w:val="20"/>
            </w:rPr>
            <w:t>, Martie 2015, pp. 42-48.</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Dumitriu, I 2015, 'Persoanele fizice dețin în fonduri echivalentul a 10% din sumele deținute în depozitele bancare. Populația și-a crescut expunerea pe fonduri la peste 3 mld EUR', </w:t>
          </w:r>
          <w:r w:rsidRPr="008F00C9">
            <w:rPr>
              <w:rFonts w:ascii="Times New Roman" w:hAnsi="Times New Roman" w:cs="Times New Roman"/>
              <w:i/>
              <w:iCs/>
              <w:noProof/>
              <w:sz w:val="20"/>
              <w:szCs w:val="20"/>
            </w:rPr>
            <w:t>Piața financiară</w:t>
          </w:r>
          <w:r w:rsidRPr="008F00C9">
            <w:rPr>
              <w:rFonts w:ascii="Times New Roman" w:hAnsi="Times New Roman" w:cs="Times New Roman"/>
              <w:noProof/>
              <w:sz w:val="20"/>
              <w:szCs w:val="20"/>
            </w:rPr>
            <w:t>, Martie 2015, pp. 50-54.</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Dumitriu, I 2015, 'Supliment fonduri și pensii', </w:t>
          </w:r>
          <w:r w:rsidRPr="008F00C9">
            <w:rPr>
              <w:rFonts w:ascii="Times New Roman" w:hAnsi="Times New Roman" w:cs="Times New Roman"/>
              <w:i/>
              <w:iCs/>
              <w:noProof/>
              <w:sz w:val="20"/>
              <w:szCs w:val="20"/>
            </w:rPr>
            <w:t>Piața financiară</w:t>
          </w:r>
          <w:r w:rsidRPr="008F00C9">
            <w:rPr>
              <w:rFonts w:ascii="Times New Roman" w:hAnsi="Times New Roman" w:cs="Times New Roman"/>
              <w:noProof/>
              <w:sz w:val="20"/>
              <w:szCs w:val="20"/>
            </w:rPr>
            <w:t>, Martie 2015, pp. 42-63.</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Ernst &amp; Young 2007, 'How Do Private Equity Investors Create Value? A Study of 2006 Exits in the US and Western Europe', Ernst&amp;Young,Transaction Advisory Services.</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Fairley, J 1999, </w:t>
          </w:r>
          <w:r w:rsidRPr="008F00C9">
            <w:rPr>
              <w:rFonts w:ascii="Times New Roman" w:hAnsi="Times New Roman" w:cs="Times New Roman"/>
              <w:i/>
              <w:iCs/>
              <w:noProof/>
              <w:sz w:val="20"/>
              <w:szCs w:val="20"/>
            </w:rPr>
            <w:t>Investing in Mutual Funds</w:t>
          </w:r>
          <w:r w:rsidRPr="008F00C9">
            <w:rPr>
              <w:rFonts w:ascii="Times New Roman" w:hAnsi="Times New Roman" w:cs="Times New Roman"/>
              <w:noProof/>
              <w:sz w:val="20"/>
              <w:szCs w:val="20"/>
            </w:rPr>
            <w:t>, IDG Books Worldwide, Inc, Foster City, Canada, available online at www.cliffsnotes.com.</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Feleagă, N 2008, 'Activismul investitorilor şi guvernanţa corporativă', </w:t>
          </w:r>
          <w:r w:rsidRPr="008F00C9">
            <w:rPr>
              <w:rFonts w:ascii="Times New Roman" w:hAnsi="Times New Roman" w:cs="Times New Roman"/>
              <w:i/>
              <w:iCs/>
              <w:noProof/>
              <w:sz w:val="20"/>
              <w:szCs w:val="20"/>
            </w:rPr>
            <w:t>Contabilitatea, Expertiza şi Auditul Afacerilor nr. 4</w:t>
          </w:r>
          <w:r w:rsidRPr="008F00C9">
            <w:rPr>
              <w:rFonts w:ascii="Times New Roman" w:hAnsi="Times New Roman" w:cs="Times New Roman"/>
              <w:noProof/>
              <w:sz w:val="20"/>
              <w:szCs w:val="20"/>
            </w:rPr>
            <w:t>, na Aprilie 2008, p. 54.</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Feleaga, N n.a., 'Investitorii institutionali si guvernanta intreprinderii', </w:t>
          </w:r>
          <w:r w:rsidRPr="008F00C9">
            <w:rPr>
              <w:rFonts w:ascii="Times New Roman" w:hAnsi="Times New Roman" w:cs="Times New Roman"/>
              <w:i/>
              <w:iCs/>
              <w:noProof/>
              <w:sz w:val="20"/>
              <w:szCs w:val="20"/>
            </w:rPr>
            <w:t>Economie Teoretica si Aplicata</w:t>
          </w:r>
          <w:r w:rsidRPr="008F00C9">
            <w:rPr>
              <w:rFonts w:ascii="Times New Roman" w:hAnsi="Times New Roman" w:cs="Times New Roman"/>
              <w:noProof/>
              <w:sz w:val="20"/>
              <w:szCs w:val="20"/>
            </w:rPr>
            <w:t>, pp. 55-60.</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Feleaga, N, Feleaga, L, Dragomir, VD &amp; Bigioi, AD 2011, 'Guvernanţa corporativă în economiile emergente: cazul României', </w:t>
          </w:r>
          <w:r w:rsidRPr="008F00C9">
            <w:rPr>
              <w:rFonts w:ascii="Times New Roman" w:hAnsi="Times New Roman" w:cs="Times New Roman"/>
              <w:i/>
              <w:iCs/>
              <w:noProof/>
              <w:sz w:val="20"/>
              <w:szCs w:val="20"/>
            </w:rPr>
            <w:t>Economie teoretică şi aplicată, 18(9)</w:t>
          </w:r>
          <w:r w:rsidRPr="008F00C9">
            <w:rPr>
              <w:rFonts w:ascii="Times New Roman" w:hAnsi="Times New Roman" w:cs="Times New Roman"/>
              <w:noProof/>
              <w:sz w:val="20"/>
              <w:szCs w:val="20"/>
            </w:rPr>
            <w:t>, p. 562.</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lastRenderedPageBreak/>
            <w:t>Fernando, D, Klapper, LF, Sulla, V &amp; Vittas, D 2003, 'The global growth of mutual funds. World bank policy research working paper no. 3055', World Bank, Available at SSRN. 636417.</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Ferreira, MA, Keswani, A, Miguel, AF &amp; Ramos, SB 2011, 'The determinants of mutual fund performance: A cross country study, July 27, 2011', Swiss Finance Institute Research Paper no. 31, Available at SSRN. 947098.</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Filip, MA 2008, </w:t>
          </w:r>
          <w:r w:rsidRPr="008F00C9">
            <w:rPr>
              <w:rFonts w:ascii="Times New Roman" w:hAnsi="Times New Roman" w:cs="Times New Roman"/>
              <w:i/>
              <w:iCs/>
              <w:noProof/>
              <w:sz w:val="20"/>
              <w:szCs w:val="20"/>
            </w:rPr>
            <w:t>Evaluarea performanţelor fondurilor mutuale din România</w:t>
          </w:r>
          <w:r w:rsidRPr="008F00C9">
            <w:rPr>
              <w:rFonts w:ascii="Times New Roman" w:hAnsi="Times New Roman" w:cs="Times New Roman"/>
              <w:noProof/>
              <w:sz w:val="20"/>
              <w:szCs w:val="20"/>
            </w:rPr>
            <w:t>, Editura Casa Cărţii de Ştiinţă Cluj Napoca, Cluj-Napoca.</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Fink, M 2008, </w:t>
          </w:r>
          <w:r w:rsidRPr="008F00C9">
            <w:rPr>
              <w:rFonts w:ascii="Times New Roman" w:hAnsi="Times New Roman" w:cs="Times New Roman"/>
              <w:i/>
              <w:iCs/>
              <w:noProof/>
              <w:sz w:val="20"/>
              <w:szCs w:val="20"/>
            </w:rPr>
            <w:t>The rise of mutual funds. An insider's view</w:t>
          </w:r>
          <w:r w:rsidRPr="008F00C9">
            <w:rPr>
              <w:rFonts w:ascii="Times New Roman" w:hAnsi="Times New Roman" w:cs="Times New Roman"/>
              <w:noProof/>
              <w:sz w:val="20"/>
              <w:szCs w:val="20"/>
            </w:rPr>
            <w:t>, Oxford University Press, New York.</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Florea, P 2007, </w:t>
          </w:r>
          <w:r w:rsidRPr="008F00C9">
            <w:rPr>
              <w:rFonts w:ascii="Times New Roman" w:hAnsi="Times New Roman" w:cs="Times New Roman"/>
              <w:i/>
              <w:iCs/>
              <w:noProof/>
              <w:sz w:val="20"/>
              <w:szCs w:val="20"/>
            </w:rPr>
            <w:t>Capitalul de risc ca o sursă alternativă de finanţare a dezvoltării. Studiu de caz. Fondul European de Investiţii.</w:t>
          </w:r>
          <w:r w:rsidRPr="008F00C9">
            <w:rPr>
              <w:rFonts w:ascii="Times New Roman" w:hAnsi="Times New Roman" w:cs="Times New Roman"/>
              <w:noProof/>
              <w:sz w:val="20"/>
              <w:szCs w:val="20"/>
            </w:rPr>
            <w:t>, Editura Dacia, Cluj-Napoca.</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Focsan, L 2010, 'Se naste Fondul proprietatea 2', </w:t>
          </w:r>
          <w:r w:rsidRPr="008F00C9">
            <w:rPr>
              <w:rFonts w:ascii="Times New Roman" w:hAnsi="Times New Roman" w:cs="Times New Roman"/>
              <w:i/>
              <w:iCs/>
              <w:noProof/>
              <w:sz w:val="20"/>
              <w:szCs w:val="20"/>
            </w:rPr>
            <w:t>Forbes</w:t>
          </w:r>
          <w:r w:rsidRPr="008F00C9">
            <w:rPr>
              <w:rFonts w:ascii="Times New Roman" w:hAnsi="Times New Roman" w:cs="Times New Roman"/>
              <w:noProof/>
              <w:sz w:val="20"/>
              <w:szCs w:val="20"/>
            </w:rPr>
            <w:t>, 5 Aprilie 2010, pp. 14-15.</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Frontier Economics Ltd 2013, 'Exploring the impact of private equity on economic growth in Europe', </w:t>
          </w:r>
          <w:r w:rsidRPr="008F00C9">
            <w:rPr>
              <w:rFonts w:ascii="Times New Roman" w:hAnsi="Times New Roman" w:cs="Times New Roman"/>
              <w:i/>
              <w:iCs/>
              <w:noProof/>
              <w:sz w:val="20"/>
              <w:szCs w:val="20"/>
            </w:rPr>
            <w:t>Frontier Economics Report for EVCA</w:t>
          </w:r>
          <w:r w:rsidRPr="008F00C9">
            <w:rPr>
              <w:rFonts w:ascii="Times New Roman" w:hAnsi="Times New Roman" w:cs="Times New Roman"/>
              <w:noProof/>
              <w:sz w:val="20"/>
              <w:szCs w:val="20"/>
            </w:rPr>
            <w:t>, n.a. May 2013, pp. 15-20.</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Fuchita, Y &amp; Litan, R 2008, </w:t>
          </w:r>
          <w:r w:rsidRPr="008F00C9">
            <w:rPr>
              <w:rFonts w:ascii="Times New Roman" w:hAnsi="Times New Roman" w:cs="Times New Roman"/>
              <w:i/>
              <w:iCs/>
              <w:noProof/>
              <w:sz w:val="20"/>
              <w:szCs w:val="20"/>
            </w:rPr>
            <w:t>Pooling Money. The future of mutual funds</w:t>
          </w:r>
          <w:r w:rsidRPr="008F00C9">
            <w:rPr>
              <w:rFonts w:ascii="Times New Roman" w:hAnsi="Times New Roman" w:cs="Times New Roman"/>
              <w:noProof/>
              <w:sz w:val="20"/>
              <w:szCs w:val="20"/>
            </w:rPr>
            <w:t>, Brooking Insitution Press, Washington DC, SUA.</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Galeteanu, N 2009, 'In lipsa creditelor, companiile se pot imprumuta la fondurile de private equity', 25 Feb 2009.</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Giles, M, Alexeeva, E &amp; Buxton, S 2003, </w:t>
          </w:r>
          <w:r w:rsidRPr="008F00C9">
            <w:rPr>
              <w:rFonts w:ascii="Times New Roman" w:hAnsi="Times New Roman" w:cs="Times New Roman"/>
              <w:i/>
              <w:iCs/>
              <w:noProof/>
              <w:sz w:val="20"/>
              <w:szCs w:val="20"/>
            </w:rPr>
            <w:t>Managing Collective Investment Funds – Second Edition</w:t>
          </w:r>
          <w:r w:rsidRPr="008F00C9">
            <w:rPr>
              <w:rFonts w:ascii="Times New Roman" w:hAnsi="Times New Roman" w:cs="Times New Roman"/>
              <w:noProof/>
              <w:sz w:val="20"/>
              <w:szCs w:val="20"/>
            </w:rPr>
            <w:t>, Wiley&amp;Sons, New Jersey.</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Gilligan, J &amp; Wright, M 2008, </w:t>
          </w:r>
          <w:r w:rsidRPr="008F00C9">
            <w:rPr>
              <w:rFonts w:ascii="Times New Roman" w:hAnsi="Times New Roman" w:cs="Times New Roman"/>
              <w:i/>
              <w:iCs/>
              <w:noProof/>
              <w:sz w:val="20"/>
              <w:szCs w:val="20"/>
            </w:rPr>
            <w:t>Private equity demistified</w:t>
          </w:r>
          <w:r w:rsidRPr="008F00C9">
            <w:rPr>
              <w:rFonts w:ascii="Times New Roman" w:hAnsi="Times New Roman" w:cs="Times New Roman"/>
              <w:noProof/>
              <w:sz w:val="20"/>
              <w:szCs w:val="20"/>
            </w:rPr>
            <w:t>, An initiative from the ICAEW Corporate Finance Faculty, Financing Change Series.</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Gottschalg, O 2007, 'Private Equity and Leveraged Buy-outs Study ', European Parliament Policy Department Economy and Science, (IP/A/ECON/IC/2007-25 and IP/A/ECON/WS/2007-18 PE 393.515, November, 2007.</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Groh, A 2009, 'Private equity in emerging markets', </w:t>
          </w:r>
          <w:r w:rsidRPr="008F00C9">
            <w:rPr>
              <w:rFonts w:ascii="Times New Roman" w:hAnsi="Times New Roman" w:cs="Times New Roman"/>
              <w:i/>
              <w:iCs/>
              <w:noProof/>
              <w:sz w:val="20"/>
              <w:szCs w:val="20"/>
            </w:rPr>
            <w:t>Electronic copy available at: http://ssrn.com/abstract=1304086</w:t>
          </w:r>
          <w:r w:rsidRPr="008F00C9">
            <w:rPr>
              <w:rFonts w:ascii="Times New Roman" w:hAnsi="Times New Roman" w:cs="Times New Roman"/>
              <w:noProof/>
              <w:sz w:val="20"/>
              <w:szCs w:val="20"/>
            </w:rPr>
            <w:t>.</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Groh, AP, Liechtenstein, H &amp; Lieser, K 2008, 'The attractiveness of Central Eastern European Countries for Venture Capital and Private Equity Investors', </w:t>
          </w:r>
          <w:r w:rsidRPr="008F00C9">
            <w:rPr>
              <w:rFonts w:ascii="Times New Roman" w:hAnsi="Times New Roman" w:cs="Times New Roman"/>
              <w:i/>
              <w:iCs/>
              <w:noProof/>
              <w:sz w:val="20"/>
              <w:szCs w:val="20"/>
            </w:rPr>
            <w:t>EFA 2008 Athens Meetings Paper</w:t>
          </w:r>
          <w:r w:rsidRPr="008F00C9">
            <w:rPr>
              <w:rFonts w:ascii="Times New Roman" w:hAnsi="Times New Roman" w:cs="Times New Roman"/>
              <w:noProof/>
              <w:sz w:val="20"/>
              <w:szCs w:val="20"/>
            </w:rPr>
            <w:t>, http://ssrn.com/abstract=960505.</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Guvernul Romaniei Aprilie 2014, 'Programul de convergenta 2014-2017'.</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Hellsten, S &amp; Mallin, C 2006, 'Are "ethical" or "social responsible" investments?', </w:t>
          </w:r>
          <w:r w:rsidRPr="008F00C9">
            <w:rPr>
              <w:rFonts w:ascii="Times New Roman" w:hAnsi="Times New Roman" w:cs="Times New Roman"/>
              <w:i/>
              <w:iCs/>
              <w:noProof/>
              <w:sz w:val="20"/>
              <w:szCs w:val="20"/>
            </w:rPr>
            <w:t>Journal of Business Ethics</w:t>
          </w:r>
          <w:r w:rsidRPr="008F00C9">
            <w:rPr>
              <w:rFonts w:ascii="Times New Roman" w:hAnsi="Times New Roman" w:cs="Times New Roman"/>
              <w:noProof/>
              <w:sz w:val="20"/>
              <w:szCs w:val="20"/>
            </w:rPr>
            <w:t>.</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Horobet, A 2005, </w:t>
          </w:r>
          <w:r w:rsidRPr="008F00C9">
            <w:rPr>
              <w:rFonts w:ascii="Times New Roman" w:hAnsi="Times New Roman" w:cs="Times New Roman"/>
              <w:i/>
              <w:iCs/>
              <w:noProof/>
              <w:sz w:val="20"/>
              <w:szCs w:val="20"/>
            </w:rPr>
            <w:t>Managementul riscului in investitiile internationale</w:t>
          </w:r>
          <w:r w:rsidRPr="008F00C9">
            <w:rPr>
              <w:rFonts w:ascii="Times New Roman" w:hAnsi="Times New Roman" w:cs="Times New Roman"/>
              <w:noProof/>
              <w:sz w:val="20"/>
              <w:szCs w:val="20"/>
            </w:rPr>
            <w:t>, CH Beck, Colectia Oeconomica, Bucuresti.</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Keown, AJ 2003, </w:t>
          </w:r>
          <w:r w:rsidRPr="008F00C9">
            <w:rPr>
              <w:rFonts w:ascii="Times New Roman" w:hAnsi="Times New Roman" w:cs="Times New Roman"/>
              <w:i/>
              <w:iCs/>
              <w:noProof/>
              <w:sz w:val="20"/>
              <w:szCs w:val="20"/>
            </w:rPr>
            <w:t>Personal Finance. Turning Money Into Wealth. Fourth Edition</w:t>
          </w:r>
          <w:r w:rsidRPr="008F00C9">
            <w:rPr>
              <w:rFonts w:ascii="Times New Roman" w:hAnsi="Times New Roman" w:cs="Times New Roman"/>
              <w:noProof/>
              <w:sz w:val="20"/>
              <w:szCs w:val="20"/>
            </w:rPr>
            <w:t>, Pearson, Prentince Hall, Upper Saddle River.</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Klier, DO 2008, 'Managing Diversified Portfolios. What Multi-Business Firms Can Learn from Private Equity, Physica-Verlag, Dissertation, Technical University of Dortmund', Springer Series in Contributions to Management Science.</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Lannoo, K &amp; Manuel Aramendia, M 2013, 'EU Regulatory Framework integrated under a European Financial Authority', in M Pinedo (ed.), </w:t>
          </w:r>
          <w:r w:rsidRPr="008F00C9">
            <w:rPr>
              <w:rFonts w:ascii="Times New Roman" w:hAnsi="Times New Roman" w:cs="Times New Roman"/>
              <w:i/>
              <w:iCs/>
              <w:noProof/>
              <w:sz w:val="20"/>
              <w:szCs w:val="20"/>
            </w:rPr>
            <w:t>Global Asset Management</w:t>
          </w:r>
          <w:r w:rsidRPr="008F00C9">
            <w:rPr>
              <w:rFonts w:ascii="Times New Roman" w:hAnsi="Times New Roman" w:cs="Times New Roman"/>
              <w:noProof/>
              <w:sz w:val="20"/>
              <w:szCs w:val="20"/>
            </w:rPr>
            <w:t>, SimCorp StrategyLab, Palgrave MacMillan,.</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Lerner, J &amp; Schoar, A 2004, 'The illiquidity puzzle: theory and evidence from private equity', </w:t>
          </w:r>
          <w:r w:rsidRPr="008F00C9">
            <w:rPr>
              <w:rFonts w:ascii="Times New Roman" w:hAnsi="Times New Roman" w:cs="Times New Roman"/>
              <w:i/>
              <w:iCs/>
              <w:noProof/>
              <w:sz w:val="20"/>
              <w:szCs w:val="20"/>
            </w:rPr>
            <w:t>Journal of Financial Economics, 72(1), Following Working Paper No. 4378-02</w:t>
          </w:r>
          <w:r w:rsidRPr="008F00C9">
            <w:rPr>
              <w:rFonts w:ascii="Times New Roman" w:hAnsi="Times New Roman" w:cs="Times New Roman"/>
              <w:noProof/>
              <w:sz w:val="20"/>
              <w:szCs w:val="20"/>
            </w:rPr>
            <w:t>, pp. 3-40.</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Lozano, J, Albareda, L &amp; Balauguer, R 2006, 'Socially responsible investment in the Spanish financial market', </w:t>
          </w:r>
          <w:r w:rsidRPr="008F00C9">
            <w:rPr>
              <w:rFonts w:ascii="Times New Roman" w:hAnsi="Times New Roman" w:cs="Times New Roman"/>
              <w:i/>
              <w:iCs/>
              <w:noProof/>
              <w:sz w:val="20"/>
              <w:szCs w:val="20"/>
            </w:rPr>
            <w:t>Journal of Business Ethics</w:t>
          </w:r>
          <w:r w:rsidRPr="008F00C9">
            <w:rPr>
              <w:rFonts w:ascii="Times New Roman" w:hAnsi="Times New Roman" w:cs="Times New Roman"/>
              <w:noProof/>
              <w:sz w:val="20"/>
              <w:szCs w:val="20"/>
            </w:rPr>
            <w:t>.</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Luckoff, P 2010, </w:t>
          </w:r>
          <w:r w:rsidRPr="008F00C9">
            <w:rPr>
              <w:rFonts w:ascii="Times New Roman" w:hAnsi="Times New Roman" w:cs="Times New Roman"/>
              <w:i/>
              <w:iCs/>
              <w:noProof/>
              <w:sz w:val="20"/>
              <w:szCs w:val="20"/>
            </w:rPr>
            <w:t>Mutual fund performance and Performance Persistance. The impact of fund flows and manager changes</w:t>
          </w:r>
          <w:r w:rsidRPr="008F00C9">
            <w:rPr>
              <w:rFonts w:ascii="Times New Roman" w:hAnsi="Times New Roman" w:cs="Times New Roman"/>
              <w:noProof/>
              <w:sz w:val="20"/>
              <w:szCs w:val="20"/>
            </w:rPr>
            <w:t>, 1st edn, Gabler Verlag, Germany.</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Manta, AG &amp; Bădircea, RM 2014, 'Measuring the efficiency in the Romanian Banking System through the Method of the Data Envelopment Analysis DEA', </w:t>
          </w:r>
          <w:r w:rsidRPr="008F00C9">
            <w:rPr>
              <w:rFonts w:ascii="Times New Roman" w:hAnsi="Times New Roman" w:cs="Times New Roman"/>
              <w:i/>
              <w:iCs/>
              <w:noProof/>
              <w:sz w:val="20"/>
              <w:szCs w:val="20"/>
            </w:rPr>
            <w:t>Analele Universitatii din Craiova Stiinte Economice</w:t>
          </w:r>
          <w:r w:rsidRPr="008F00C9">
            <w:rPr>
              <w:rFonts w:ascii="Times New Roman" w:hAnsi="Times New Roman" w:cs="Times New Roman"/>
              <w:noProof/>
              <w:sz w:val="20"/>
              <w:szCs w:val="20"/>
            </w:rPr>
            <w:t>, 2014.</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Matei, M n.a, 'Fondurile cu capital de risc - o noua sursa de finantare a investitiilor din Romania', </w:t>
          </w:r>
          <w:r w:rsidRPr="008F00C9">
            <w:rPr>
              <w:rFonts w:ascii="Times New Roman" w:hAnsi="Times New Roman" w:cs="Times New Roman"/>
              <w:i/>
              <w:iCs/>
              <w:noProof/>
              <w:sz w:val="20"/>
              <w:szCs w:val="20"/>
            </w:rPr>
            <w:t>n.a</w:t>
          </w:r>
          <w:r w:rsidRPr="008F00C9">
            <w:rPr>
              <w:rFonts w:ascii="Times New Roman" w:hAnsi="Times New Roman" w:cs="Times New Roman"/>
              <w:noProof/>
              <w:sz w:val="20"/>
              <w:szCs w:val="20"/>
            </w:rPr>
            <w:t>, p. n.a.</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lastRenderedPageBreak/>
            <w:t>Mathis, JF 2008, 'The competitive impact of global private equity: creative destruction and innovation', Thunderbird School of Global Management, Thunderbird Global Private Equity Center.</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Mattig, A 2009, 'Industrial Dynamics and the Evolution of Markets in the Mutual Fund Industry, Doctoral thesis, St. Gallen University 2009', © Gabler | GWV Fachverlage GmbH, Wiesbaden 2009, Germany, St. Gallen, Switzerland.</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Moise, O 2015, 'Capitalul caută mereu alternative profitabile', </w:t>
          </w:r>
          <w:r w:rsidRPr="008F00C9">
            <w:rPr>
              <w:rFonts w:ascii="Times New Roman" w:hAnsi="Times New Roman" w:cs="Times New Roman"/>
              <w:i/>
              <w:iCs/>
              <w:noProof/>
              <w:sz w:val="20"/>
              <w:szCs w:val="20"/>
            </w:rPr>
            <w:t>Piața financiară</w:t>
          </w:r>
          <w:r w:rsidRPr="008F00C9">
            <w:rPr>
              <w:rFonts w:ascii="Times New Roman" w:hAnsi="Times New Roman" w:cs="Times New Roman"/>
              <w:noProof/>
              <w:sz w:val="20"/>
              <w:szCs w:val="20"/>
            </w:rPr>
            <w:t>, Martie 2015, pp. 66-67.</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Moise, O 2015, 'Crește interesul pentru planificare financiară', </w:t>
          </w:r>
          <w:r w:rsidRPr="008F00C9">
            <w:rPr>
              <w:rFonts w:ascii="Times New Roman" w:hAnsi="Times New Roman" w:cs="Times New Roman"/>
              <w:i/>
              <w:iCs/>
              <w:noProof/>
              <w:sz w:val="20"/>
              <w:szCs w:val="20"/>
            </w:rPr>
            <w:t>Piața financiară</w:t>
          </w:r>
          <w:r w:rsidRPr="008F00C9">
            <w:rPr>
              <w:rFonts w:ascii="Times New Roman" w:hAnsi="Times New Roman" w:cs="Times New Roman"/>
              <w:noProof/>
              <w:sz w:val="20"/>
              <w:szCs w:val="20"/>
            </w:rPr>
            <w:t>, Martie 2015, p. 64.</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Moise, O 2015, 'Românii s-au obișnuit cu investirea în fonduri', </w:t>
          </w:r>
          <w:r w:rsidRPr="008F00C9">
            <w:rPr>
              <w:rFonts w:ascii="Times New Roman" w:hAnsi="Times New Roman" w:cs="Times New Roman"/>
              <w:i/>
              <w:iCs/>
              <w:noProof/>
              <w:sz w:val="20"/>
              <w:szCs w:val="20"/>
            </w:rPr>
            <w:t>Piața financiară</w:t>
          </w:r>
          <w:r w:rsidRPr="008F00C9">
            <w:rPr>
              <w:rFonts w:ascii="Times New Roman" w:hAnsi="Times New Roman" w:cs="Times New Roman"/>
              <w:noProof/>
              <w:sz w:val="20"/>
              <w:szCs w:val="20"/>
            </w:rPr>
            <w:t>, Martie 2015, pp. 70-71.</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Montier, JEA 2007, </w:t>
          </w:r>
          <w:r w:rsidRPr="008F00C9">
            <w:rPr>
              <w:rFonts w:ascii="Times New Roman" w:hAnsi="Times New Roman" w:cs="Times New Roman"/>
              <w:i/>
              <w:iCs/>
              <w:noProof/>
              <w:sz w:val="20"/>
              <w:szCs w:val="20"/>
            </w:rPr>
            <w:t>Behavioural investing. A practitioner's guide to applying behavioural finance</w:t>
          </w:r>
          <w:r w:rsidRPr="008F00C9">
            <w:rPr>
              <w:rFonts w:ascii="Times New Roman" w:hAnsi="Times New Roman" w:cs="Times New Roman"/>
              <w:noProof/>
              <w:sz w:val="20"/>
              <w:szCs w:val="20"/>
            </w:rPr>
            <w:t>, Wiley Sons, New York.</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Montier, J 2010, </w:t>
          </w:r>
          <w:r w:rsidRPr="008F00C9">
            <w:rPr>
              <w:rFonts w:ascii="Times New Roman" w:hAnsi="Times New Roman" w:cs="Times New Roman"/>
              <w:i/>
              <w:iCs/>
              <w:noProof/>
              <w:sz w:val="20"/>
              <w:szCs w:val="20"/>
            </w:rPr>
            <w:t>The bond bubble - a sterile debate on semantics</w:t>
          </w:r>
          <w:r w:rsidRPr="008F00C9">
            <w:rPr>
              <w:rFonts w:ascii="Times New Roman" w:hAnsi="Times New Roman" w:cs="Times New Roman"/>
              <w:noProof/>
              <w:sz w:val="20"/>
              <w:szCs w:val="20"/>
            </w:rPr>
            <w:t>, viewed 01 December 2011, &lt;</w:t>
          </w:r>
          <w:r w:rsidRPr="008F00C9">
            <w:rPr>
              <w:rFonts w:ascii="Times New Roman" w:hAnsi="Times New Roman" w:cs="Times New Roman"/>
              <w:sz w:val="20"/>
              <w:szCs w:val="20"/>
            </w:rPr>
            <w:t xml:space="preserve"> HYPERLINK "http://behaviouralinvesting.blogspot.com" </w:t>
          </w:r>
          <w:r w:rsidRPr="008F00C9">
            <w:rPr>
              <w:rStyle w:val="Hyperlink"/>
              <w:rFonts w:ascii="Times New Roman" w:hAnsi="Times New Roman" w:cs="Times New Roman"/>
              <w:noProof/>
              <w:sz w:val="20"/>
              <w:szCs w:val="20"/>
            </w:rPr>
            <w:t>http://behaviouralinvesting.blogspot.com</w:t>
          </w:r>
          <w:r w:rsidRPr="008F00C9">
            <w:rPr>
              <w:rFonts w:ascii="Times New Roman" w:hAnsi="Times New Roman" w:cs="Times New Roman"/>
              <w:sz w:val="20"/>
              <w:szCs w:val="20"/>
            </w:rPr>
            <w:t xml:space="preserve"> </w:t>
          </w:r>
          <w:r w:rsidRPr="008F00C9">
            <w:rPr>
              <w:rFonts w:ascii="Times New Roman" w:hAnsi="Times New Roman" w:cs="Times New Roman"/>
              <w:noProof/>
              <w:sz w:val="20"/>
              <w:szCs w:val="20"/>
            </w:rPr>
            <w:t>&gt;.</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Mueller, K &amp; Achleitner, AK 2008, </w:t>
          </w:r>
          <w:r w:rsidRPr="008F00C9">
            <w:rPr>
              <w:rFonts w:ascii="Times New Roman" w:hAnsi="Times New Roman" w:cs="Times New Roman"/>
              <w:i/>
              <w:iCs/>
              <w:noProof/>
              <w:sz w:val="20"/>
              <w:szCs w:val="20"/>
            </w:rPr>
            <w:t>Investing in Private Equity Partnerships</w:t>
          </w:r>
          <w:r w:rsidRPr="008F00C9">
            <w:rPr>
              <w:rFonts w:ascii="Times New Roman" w:hAnsi="Times New Roman" w:cs="Times New Roman"/>
              <w:noProof/>
              <w:sz w:val="20"/>
              <w:szCs w:val="20"/>
            </w:rPr>
            <w:t>, Gabler Edition edn, Springer Science and Business Media.</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Nan, S 2006, 'TD Reglementări și instituții pe piața de capital', Master Degree Report, Facultatea de Finante, Asigurari , Banci si Burse de valori, Academia de Studii Economice Bucuresti, Bucuresti.</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Năstase, G, Badea, D &amp; Năstase, DI 2009, 'Finanţarea transferului de tehnologie prin capitaluri de risc', </w:t>
          </w:r>
          <w:r w:rsidRPr="008F00C9">
            <w:rPr>
              <w:rFonts w:ascii="Times New Roman" w:hAnsi="Times New Roman" w:cs="Times New Roman"/>
              <w:i/>
              <w:iCs/>
              <w:noProof/>
              <w:sz w:val="20"/>
              <w:szCs w:val="20"/>
            </w:rPr>
            <w:t xml:space="preserve">Revista de Economie Teoretica si Aplicata </w:t>
          </w:r>
          <w:r w:rsidRPr="008F00C9">
            <w:rPr>
              <w:rFonts w:ascii="Times New Roman" w:hAnsi="Times New Roman" w:cs="Times New Roman"/>
              <w:noProof/>
              <w:sz w:val="20"/>
              <w:szCs w:val="20"/>
            </w:rPr>
            <w:t>, p. 507.</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Negrea, B, Ţâţu, L &amp; Stoian, A 2008, 'The Impact of Trades on Daily Volatility: an Empirical Study for Romanian Financial Investments Funds', </w:t>
          </w:r>
          <w:r w:rsidRPr="008F00C9">
            <w:rPr>
              <w:rFonts w:ascii="Times New Roman" w:hAnsi="Times New Roman" w:cs="Times New Roman"/>
              <w:i/>
              <w:iCs/>
              <w:noProof/>
              <w:sz w:val="20"/>
              <w:szCs w:val="20"/>
            </w:rPr>
            <w:t>Theoretical and Applied Economics, 11(11)</w:t>
          </w:r>
          <w:r w:rsidRPr="008F00C9">
            <w:rPr>
              <w:rFonts w:ascii="Times New Roman" w:hAnsi="Times New Roman" w:cs="Times New Roman"/>
              <w:noProof/>
              <w:sz w:val="20"/>
              <w:szCs w:val="20"/>
            </w:rPr>
            <w:t>, p. 31.</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Nistor, IA &amp; Păun, D 2009, 'Perspective privind intermedierea financiara din Romania în cadrul modificării condiţiilor de piaţă', </w:t>
          </w:r>
          <w:r w:rsidRPr="008F00C9">
            <w:rPr>
              <w:rFonts w:ascii="Times New Roman" w:hAnsi="Times New Roman" w:cs="Times New Roman"/>
              <w:i/>
              <w:iCs/>
              <w:noProof/>
              <w:sz w:val="20"/>
              <w:szCs w:val="20"/>
            </w:rPr>
            <w:t>Revista Economie Teoretica si Aplicata</w:t>
          </w:r>
          <w:r w:rsidRPr="008F00C9">
            <w:rPr>
              <w:rFonts w:ascii="Times New Roman" w:hAnsi="Times New Roman" w:cs="Times New Roman"/>
              <w:noProof/>
              <w:sz w:val="20"/>
              <w:szCs w:val="20"/>
            </w:rPr>
            <w:t>, p. 311.</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b/>
              <w:noProof/>
              <w:sz w:val="20"/>
              <w:szCs w:val="20"/>
            </w:rPr>
          </w:pPr>
          <w:r w:rsidRPr="008F00C9">
            <w:rPr>
              <w:rFonts w:ascii="Times New Roman" w:hAnsi="Times New Roman" w:cs="Times New Roman"/>
              <w:b/>
              <w:noProof/>
              <w:sz w:val="20"/>
              <w:szCs w:val="20"/>
            </w:rPr>
            <w:t xml:space="preserve">Nistor, I &amp; Radu, I 2011, 'Global tendencies in investment fund market development', </w:t>
          </w:r>
          <w:r w:rsidRPr="008F00C9">
            <w:rPr>
              <w:rFonts w:ascii="Times New Roman" w:hAnsi="Times New Roman" w:cs="Times New Roman"/>
              <w:b/>
              <w:i/>
              <w:iCs/>
              <w:noProof/>
              <w:sz w:val="20"/>
              <w:szCs w:val="20"/>
            </w:rPr>
            <w:t>Revista Finante-Provocarile viitorului, Year XI, No.13/2011</w:t>
          </w:r>
          <w:r w:rsidRPr="008F00C9">
            <w:rPr>
              <w:rFonts w:ascii="Times New Roman" w:hAnsi="Times New Roman" w:cs="Times New Roman"/>
              <w:b/>
              <w:noProof/>
              <w:sz w:val="20"/>
              <w:szCs w:val="20"/>
            </w:rPr>
            <w:t>, pp. 16-21, http://ideas.repec.org/a/aio/fpvfcf/v1y2011i13p16-21.html.</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Nistor, I &amp; Ulici, ML 2009, 'The financial crisis and the impact over the sectors of economy', </w:t>
          </w:r>
          <w:r w:rsidRPr="008F00C9">
            <w:rPr>
              <w:rFonts w:ascii="Times New Roman" w:hAnsi="Times New Roman" w:cs="Times New Roman"/>
              <w:i/>
              <w:iCs/>
              <w:noProof/>
              <w:sz w:val="20"/>
              <w:szCs w:val="20"/>
            </w:rPr>
            <w:t>Annals of Faculty of Economics, University of Oradea</w:t>
          </w:r>
          <w:r w:rsidRPr="008F00C9">
            <w:rPr>
              <w:rFonts w:ascii="Times New Roman" w:hAnsi="Times New Roman" w:cs="Times New Roman"/>
              <w:noProof/>
              <w:sz w:val="20"/>
              <w:szCs w:val="20"/>
            </w:rPr>
            <w:t>, pp. 288-293.</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Niţu, A 2005, </w:t>
          </w:r>
          <w:r w:rsidRPr="008F00C9">
            <w:rPr>
              <w:rFonts w:ascii="Times New Roman" w:hAnsi="Times New Roman" w:cs="Times New Roman"/>
              <w:i/>
              <w:iCs/>
              <w:noProof/>
              <w:sz w:val="20"/>
              <w:szCs w:val="20"/>
            </w:rPr>
            <w:t>Piaţa de capital. Modele. Instituţii. Mecanisme</w:t>
          </w:r>
          <w:r w:rsidRPr="008F00C9">
            <w:rPr>
              <w:rFonts w:ascii="Times New Roman" w:hAnsi="Times New Roman" w:cs="Times New Roman"/>
              <w:noProof/>
              <w:sz w:val="20"/>
              <w:szCs w:val="20"/>
            </w:rPr>
            <w:t>, Editura Universităţii de Vest, Timişoara.</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Nițu, A 2009, </w:t>
          </w:r>
          <w:r w:rsidRPr="008F00C9">
            <w:rPr>
              <w:rFonts w:ascii="Times New Roman" w:hAnsi="Times New Roman" w:cs="Times New Roman"/>
              <w:i/>
              <w:iCs/>
              <w:noProof/>
              <w:sz w:val="20"/>
              <w:szCs w:val="20"/>
            </w:rPr>
            <w:t>Piața de capital. Instituții</w:t>
          </w:r>
          <w:r w:rsidRPr="008F00C9">
            <w:rPr>
              <w:rFonts w:ascii="Times New Roman" w:hAnsi="Times New Roman" w:cs="Times New Roman"/>
              <w:noProof/>
              <w:sz w:val="20"/>
              <w:szCs w:val="20"/>
            </w:rPr>
            <w:t>, Editura Universității de Vest, Timișoara.</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Olteanu, V &amp; Vlad, B 2010, 'Comportamentul consumatorilor de produse si servicii financiare (investitorii)', </w:t>
          </w:r>
          <w:r w:rsidRPr="008F00C9">
            <w:rPr>
              <w:rFonts w:ascii="Times New Roman" w:hAnsi="Times New Roman" w:cs="Times New Roman"/>
              <w:i/>
              <w:iCs/>
              <w:noProof/>
              <w:sz w:val="20"/>
              <w:szCs w:val="20"/>
            </w:rPr>
            <w:t>Revista de Marketing Online</w:t>
          </w:r>
          <w:r w:rsidRPr="008F00C9">
            <w:rPr>
              <w:rFonts w:ascii="Times New Roman" w:hAnsi="Times New Roman" w:cs="Times New Roman"/>
              <w:noProof/>
              <w:sz w:val="20"/>
              <w:szCs w:val="20"/>
            </w:rPr>
            <w:t>, vol Vol 1., no. Nr.4, pp. 3-7.</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Onofrei, M 2000, </w:t>
          </w:r>
          <w:r w:rsidRPr="008F00C9">
            <w:rPr>
              <w:rFonts w:ascii="Times New Roman" w:hAnsi="Times New Roman" w:cs="Times New Roman"/>
              <w:i/>
              <w:iCs/>
              <w:noProof/>
              <w:sz w:val="20"/>
              <w:szCs w:val="20"/>
            </w:rPr>
            <w:t>Impactul politicilor financiare asupra societăţii</w:t>
          </w:r>
          <w:r w:rsidRPr="008F00C9">
            <w:rPr>
              <w:rFonts w:ascii="Times New Roman" w:hAnsi="Times New Roman" w:cs="Times New Roman"/>
              <w:noProof/>
              <w:sz w:val="20"/>
              <w:szCs w:val="20"/>
            </w:rPr>
            <w:t>, Editura Economică, Bucureşti.</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Paun, ID &amp; Pascu-Nedelcu, M 2009, 'Interdependenţa dintre pieţele de capital în condiţii de stabilitate economică şi în condiţii de criză – studiu econometric al efectului de contagiune', </w:t>
          </w:r>
          <w:r w:rsidRPr="008F00C9">
            <w:rPr>
              <w:rFonts w:ascii="Times New Roman" w:hAnsi="Times New Roman" w:cs="Times New Roman"/>
              <w:i/>
              <w:iCs/>
              <w:noProof/>
              <w:sz w:val="20"/>
              <w:szCs w:val="20"/>
            </w:rPr>
            <w:t>A 10-a conferinţă internaţională Finanţele şi stabilitatea economico financiară în contextul crizei financiare, 11-12 Decembrie 2009</w:t>
          </w:r>
          <w:r w:rsidRPr="008F00C9">
            <w:rPr>
              <w:rFonts w:ascii="Times New Roman" w:hAnsi="Times New Roman" w:cs="Times New Roman"/>
              <w:noProof/>
              <w:sz w:val="20"/>
              <w:szCs w:val="20"/>
            </w:rPr>
            <w:t>, ASE Bucuresti, Suplimentul revistei Economie Teoretică şi Aplicată, Bucuresti.</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Pecican, EŞ 2007, </w:t>
          </w:r>
          <w:r w:rsidRPr="008F00C9">
            <w:rPr>
              <w:rFonts w:ascii="Times New Roman" w:hAnsi="Times New Roman" w:cs="Times New Roman"/>
              <w:i/>
              <w:iCs/>
              <w:noProof/>
              <w:sz w:val="20"/>
              <w:szCs w:val="20"/>
            </w:rPr>
            <w:t>Econometria.pentru economişti! Ediţia a III-a</w:t>
          </w:r>
          <w:r w:rsidRPr="008F00C9">
            <w:rPr>
              <w:rFonts w:ascii="Times New Roman" w:hAnsi="Times New Roman" w:cs="Times New Roman"/>
              <w:noProof/>
              <w:sz w:val="20"/>
              <w:szCs w:val="20"/>
            </w:rPr>
            <w:t>, Editura Economică, Bucureşti.</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Peter, C 2011, </w:t>
          </w:r>
          <w:r w:rsidRPr="008F00C9">
            <w:rPr>
              <w:rFonts w:ascii="Times New Roman" w:hAnsi="Times New Roman" w:cs="Times New Roman"/>
              <w:i/>
              <w:iCs/>
              <w:noProof/>
              <w:sz w:val="20"/>
              <w:szCs w:val="20"/>
            </w:rPr>
            <w:t>International investment in Private Equity - Asset, Allocation, Markets</w:t>
          </w:r>
          <w:r w:rsidRPr="008F00C9">
            <w:rPr>
              <w:rFonts w:ascii="Times New Roman" w:hAnsi="Times New Roman" w:cs="Times New Roman"/>
              <w:noProof/>
              <w:sz w:val="20"/>
              <w:szCs w:val="20"/>
            </w:rPr>
            <w:t>, Springer.</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Petrescu, D 2013, 'Autoritatea de Supraveghere Financiară în contextul european', </w:t>
          </w:r>
          <w:r w:rsidRPr="008F00C9">
            <w:rPr>
              <w:rFonts w:ascii="Times New Roman" w:hAnsi="Times New Roman" w:cs="Times New Roman"/>
              <w:i/>
              <w:iCs/>
              <w:noProof/>
              <w:sz w:val="20"/>
              <w:szCs w:val="20"/>
            </w:rPr>
            <w:t>RFPC</w:t>
          </w:r>
          <w:r w:rsidRPr="008F00C9">
            <w:rPr>
              <w:rFonts w:ascii="Times New Roman" w:hAnsi="Times New Roman" w:cs="Times New Roman"/>
              <w:noProof/>
              <w:sz w:val="20"/>
              <w:szCs w:val="20"/>
            </w:rPr>
            <w:t>, vol 3, pp. 21-24.</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Phalippou, L &amp; Gottschalg, O 2009, 'The performance of private equity funds', </w:t>
          </w:r>
          <w:r w:rsidRPr="008F00C9">
            <w:rPr>
              <w:rFonts w:ascii="Times New Roman" w:hAnsi="Times New Roman" w:cs="Times New Roman"/>
              <w:i/>
              <w:iCs/>
              <w:noProof/>
              <w:sz w:val="20"/>
              <w:szCs w:val="20"/>
            </w:rPr>
            <w:t>Review of Financial Studies, 22(4), Electronic copy available at: http://ssrn.com/abstract=473221</w:t>
          </w:r>
          <w:r w:rsidRPr="008F00C9">
            <w:rPr>
              <w:rFonts w:ascii="Times New Roman" w:hAnsi="Times New Roman" w:cs="Times New Roman"/>
              <w:noProof/>
              <w:sz w:val="20"/>
              <w:szCs w:val="20"/>
            </w:rPr>
            <w:t>, pp. 1747-1776.</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Pirtea, M, Iovu, LR &amp; Milos, MC 2008, 'Dynamics of financial markets in the context of globalization', </w:t>
          </w:r>
          <w:r w:rsidRPr="008F00C9">
            <w:rPr>
              <w:rFonts w:ascii="Times New Roman" w:hAnsi="Times New Roman" w:cs="Times New Roman"/>
              <w:i/>
              <w:iCs/>
              <w:noProof/>
              <w:sz w:val="20"/>
              <w:szCs w:val="20"/>
            </w:rPr>
            <w:t>MPRA Paper No. 19889</w:t>
          </w:r>
          <w:r w:rsidRPr="008F00C9">
            <w:rPr>
              <w:rFonts w:ascii="Times New Roman" w:hAnsi="Times New Roman" w:cs="Times New Roman"/>
              <w:noProof/>
              <w:sz w:val="20"/>
              <w:szCs w:val="20"/>
            </w:rPr>
            <w:t>, vol http://mpra.ub.uni-muenchen.de/19889/, no. Paper No. 19889, posted 13. January 2010.</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PitchBook 2014, 'European Private Equity Breakdown ', Report and database sheet, www.pitchbook.com , RR Donnelly.</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PitchBook 2015, 'Global Exit Report and Data Sheet', www.pitcbbook.com/reports.html, RR Donnelly.</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Pop, IA 2006, </w:t>
          </w:r>
          <w:r w:rsidRPr="008F00C9">
            <w:rPr>
              <w:rFonts w:ascii="Times New Roman" w:hAnsi="Times New Roman" w:cs="Times New Roman"/>
              <w:i/>
              <w:iCs/>
              <w:noProof/>
              <w:sz w:val="20"/>
              <w:szCs w:val="20"/>
            </w:rPr>
            <w:t>Concepte, forme si modalitati de participatii si investitii financiare in economia romaneasca</w:t>
          </w:r>
          <w:r w:rsidRPr="008F00C9">
            <w:rPr>
              <w:rFonts w:ascii="Times New Roman" w:hAnsi="Times New Roman" w:cs="Times New Roman"/>
              <w:noProof/>
              <w:sz w:val="20"/>
              <w:szCs w:val="20"/>
            </w:rPr>
            <w:t>, Editura Alma Mater, Cluj-Napoca.</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Popa, A &amp; Cristea, M 2007, 'Fondurile de pensii în cadrul investitorilor instituţionali', </w:t>
          </w:r>
          <w:r w:rsidRPr="008F00C9">
            <w:rPr>
              <w:rFonts w:ascii="Times New Roman" w:hAnsi="Times New Roman" w:cs="Times New Roman"/>
              <w:i/>
              <w:iCs/>
              <w:noProof/>
              <w:sz w:val="20"/>
              <w:szCs w:val="20"/>
            </w:rPr>
            <w:t>Revista Finanţe-provocările viitorului Nr.6-2007, Anul VI, Editura Universităţii din Craiova</w:t>
          </w:r>
          <w:r w:rsidRPr="008F00C9">
            <w:rPr>
              <w:rFonts w:ascii="Times New Roman" w:hAnsi="Times New Roman" w:cs="Times New Roman"/>
              <w:noProof/>
              <w:sz w:val="20"/>
              <w:szCs w:val="20"/>
            </w:rPr>
            <w:t>, pp. 113-120.</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lastRenderedPageBreak/>
            <w:t xml:space="preserve">Popescu, C 2015, 'Factoring 2014-2015. Investitiile fac diferenta', </w:t>
          </w:r>
          <w:r w:rsidRPr="008F00C9">
            <w:rPr>
              <w:rFonts w:ascii="Times New Roman" w:hAnsi="Times New Roman" w:cs="Times New Roman"/>
              <w:i/>
              <w:iCs/>
              <w:noProof/>
              <w:sz w:val="20"/>
              <w:szCs w:val="20"/>
            </w:rPr>
            <w:t>Piata financiara</w:t>
          </w:r>
          <w:r w:rsidRPr="008F00C9">
            <w:rPr>
              <w:rFonts w:ascii="Times New Roman" w:hAnsi="Times New Roman" w:cs="Times New Roman"/>
              <w:noProof/>
              <w:sz w:val="20"/>
              <w:szCs w:val="20"/>
            </w:rPr>
            <w:t>, Martie 2015, pp. 8-12.</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b/>
              <w:noProof/>
              <w:sz w:val="20"/>
              <w:szCs w:val="20"/>
            </w:rPr>
          </w:pPr>
          <w:r w:rsidRPr="008F00C9">
            <w:rPr>
              <w:rFonts w:ascii="Times New Roman" w:hAnsi="Times New Roman" w:cs="Times New Roman"/>
              <w:b/>
              <w:noProof/>
              <w:sz w:val="20"/>
              <w:szCs w:val="20"/>
            </w:rPr>
            <w:t xml:space="preserve">Pop-Radu, I 2014, 'Romanian Mutual funds assets parented by Asset Management Banking Companies during 2008-2013', </w:t>
          </w:r>
          <w:r w:rsidRPr="008F00C9">
            <w:rPr>
              <w:rFonts w:ascii="Times New Roman" w:hAnsi="Times New Roman" w:cs="Times New Roman"/>
              <w:b/>
              <w:i/>
              <w:iCs/>
              <w:noProof/>
              <w:sz w:val="20"/>
              <w:szCs w:val="20"/>
            </w:rPr>
            <w:t>Journal of Public Administration, Finance and Law (JOPAFL)</w:t>
          </w:r>
          <w:r w:rsidRPr="008F00C9">
            <w:rPr>
              <w:rFonts w:ascii="Times New Roman" w:hAnsi="Times New Roman" w:cs="Times New Roman"/>
              <w:b/>
              <w:noProof/>
              <w:sz w:val="20"/>
              <w:szCs w:val="20"/>
            </w:rPr>
            <w:t>, vol 2.</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Pop, C &amp; Ungurean, P 1999, </w:t>
          </w:r>
          <w:r w:rsidRPr="008F00C9">
            <w:rPr>
              <w:rFonts w:ascii="Times New Roman" w:hAnsi="Times New Roman" w:cs="Times New Roman"/>
              <w:i/>
              <w:iCs/>
              <w:noProof/>
              <w:sz w:val="20"/>
              <w:szCs w:val="20"/>
            </w:rPr>
            <w:t>Societăţile de intermediere financiară</w:t>
          </w:r>
          <w:r w:rsidRPr="008F00C9">
            <w:rPr>
              <w:rFonts w:ascii="Times New Roman" w:hAnsi="Times New Roman" w:cs="Times New Roman"/>
              <w:noProof/>
              <w:sz w:val="20"/>
              <w:szCs w:val="20"/>
            </w:rPr>
            <w:t>, Editura Dacia, Cluj-Napoca.</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PulsCapital 2013, 'Cresterea lichidităţii - cheia in promovarea BVB la statutul de piata emergenta', </w:t>
          </w:r>
          <w:r w:rsidRPr="008F00C9">
            <w:rPr>
              <w:rFonts w:ascii="Times New Roman" w:hAnsi="Times New Roman" w:cs="Times New Roman"/>
              <w:i/>
              <w:iCs/>
              <w:noProof/>
              <w:sz w:val="20"/>
              <w:szCs w:val="20"/>
            </w:rPr>
            <w:t>Puls Capital-Buletin de informare şi analiză a pieţei de capital Nr.773</w:t>
          </w:r>
          <w:r w:rsidRPr="008F00C9">
            <w:rPr>
              <w:rFonts w:ascii="Times New Roman" w:hAnsi="Times New Roman" w:cs="Times New Roman"/>
              <w:noProof/>
              <w:sz w:val="20"/>
              <w:szCs w:val="20"/>
            </w:rPr>
            <w:t>, 08 Noiembrie 2013, pp. 1-2.</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PWC Feb. 2014, 'Private Equity Trend Report 2014/2013. An industry rediscovering optimism', Global Private Equity Report, Global Private Equity Report, PWC, Steve Roberts.</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b/>
              <w:noProof/>
              <w:sz w:val="20"/>
              <w:szCs w:val="20"/>
            </w:rPr>
          </w:pPr>
          <w:r w:rsidRPr="008F00C9">
            <w:rPr>
              <w:rFonts w:ascii="Times New Roman" w:hAnsi="Times New Roman" w:cs="Times New Roman"/>
              <w:b/>
              <w:noProof/>
              <w:sz w:val="20"/>
              <w:szCs w:val="20"/>
            </w:rPr>
            <w:t xml:space="preserve">Radu, I 2009b, 'Importanţa fondurilor private de investiţii', </w:t>
          </w:r>
          <w:r w:rsidRPr="008F00C9">
            <w:rPr>
              <w:rFonts w:ascii="Times New Roman" w:hAnsi="Times New Roman" w:cs="Times New Roman"/>
              <w:b/>
              <w:i/>
              <w:iCs/>
              <w:noProof/>
              <w:sz w:val="20"/>
              <w:szCs w:val="20"/>
            </w:rPr>
            <w:t>Buletinul Ştiinţific al Facultăţii de Finanţe, Bănci şi Contabilitate, UCDC Braşov Nr.10-2009</w:t>
          </w:r>
          <w:r w:rsidRPr="008F00C9">
            <w:rPr>
              <w:rFonts w:ascii="Times New Roman" w:hAnsi="Times New Roman" w:cs="Times New Roman"/>
              <w:b/>
              <w:noProof/>
              <w:sz w:val="20"/>
              <w:szCs w:val="20"/>
            </w:rPr>
            <w:t>, pp. 309-320.</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b/>
              <w:noProof/>
              <w:sz w:val="20"/>
              <w:szCs w:val="20"/>
            </w:rPr>
          </w:pPr>
          <w:r w:rsidRPr="008F00C9">
            <w:rPr>
              <w:rFonts w:ascii="Times New Roman" w:hAnsi="Times New Roman" w:cs="Times New Roman"/>
              <w:b/>
              <w:noProof/>
              <w:sz w:val="20"/>
              <w:szCs w:val="20"/>
            </w:rPr>
            <w:t xml:space="preserve">Radu, I 2010a, 'Investment funds in relation with sponsors, investors and portfolio companies', </w:t>
          </w:r>
          <w:r w:rsidRPr="008F00C9">
            <w:rPr>
              <w:rFonts w:ascii="Times New Roman" w:hAnsi="Times New Roman" w:cs="Times New Roman"/>
              <w:b/>
              <w:i/>
              <w:iCs/>
              <w:noProof/>
              <w:sz w:val="20"/>
              <w:szCs w:val="20"/>
            </w:rPr>
            <w:t>Ovidius University Annals, Economic Sciences Series, vol. XV</w:t>
          </w:r>
          <w:r w:rsidRPr="008F00C9">
            <w:rPr>
              <w:rFonts w:ascii="Times New Roman" w:hAnsi="Times New Roman" w:cs="Times New Roman"/>
              <w:b/>
              <w:noProof/>
              <w:sz w:val="20"/>
              <w:szCs w:val="20"/>
            </w:rPr>
            <w:t>, pp. 1803-1806.</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b/>
              <w:noProof/>
              <w:sz w:val="20"/>
              <w:szCs w:val="20"/>
            </w:rPr>
          </w:pPr>
          <w:r w:rsidRPr="008F00C9">
            <w:rPr>
              <w:rFonts w:ascii="Times New Roman" w:hAnsi="Times New Roman" w:cs="Times New Roman"/>
              <w:b/>
              <w:noProof/>
              <w:sz w:val="20"/>
              <w:szCs w:val="20"/>
            </w:rPr>
            <w:t xml:space="preserve">Radu, I 2010b, 'Organizarea fondurilor de investiţii', </w:t>
          </w:r>
          <w:r w:rsidRPr="008F00C9">
            <w:rPr>
              <w:rFonts w:ascii="Times New Roman" w:hAnsi="Times New Roman" w:cs="Times New Roman"/>
              <w:b/>
              <w:i/>
              <w:iCs/>
              <w:noProof/>
              <w:sz w:val="20"/>
              <w:szCs w:val="20"/>
            </w:rPr>
            <w:t>Buletinul Ştiinţific al Facultăţii de Finanţe, Bănci şi Contabilitate, UCDC Braşov, Nr.11-2010, Editura Infomarket Braşov</w:t>
          </w:r>
          <w:r w:rsidRPr="008F00C9">
            <w:rPr>
              <w:rFonts w:ascii="Times New Roman" w:hAnsi="Times New Roman" w:cs="Times New Roman"/>
              <w:b/>
              <w:noProof/>
              <w:sz w:val="20"/>
              <w:szCs w:val="20"/>
            </w:rPr>
            <w:t>, pp. 339-347.</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b/>
              <w:noProof/>
              <w:sz w:val="20"/>
              <w:szCs w:val="20"/>
            </w:rPr>
          </w:pPr>
          <w:r w:rsidRPr="008F00C9">
            <w:rPr>
              <w:rFonts w:ascii="Times New Roman" w:hAnsi="Times New Roman" w:cs="Times New Roman"/>
              <w:b/>
              <w:noProof/>
              <w:sz w:val="20"/>
              <w:szCs w:val="20"/>
            </w:rPr>
            <w:t xml:space="preserve">Radu, I 2010b, 'The social impact of private equity funds in Romania', </w:t>
          </w:r>
          <w:r w:rsidRPr="008F00C9">
            <w:rPr>
              <w:rFonts w:ascii="Times New Roman" w:hAnsi="Times New Roman" w:cs="Times New Roman"/>
              <w:b/>
              <w:i/>
              <w:iCs/>
              <w:noProof/>
              <w:sz w:val="20"/>
              <w:szCs w:val="20"/>
            </w:rPr>
            <w:t>International Conference: Competitiveness and Stability in the Knowledge based Economy - Annals of University of Craiova - Economic Sciences Series, vol II., Issue 38</w:t>
          </w:r>
          <w:r w:rsidRPr="008F00C9">
            <w:rPr>
              <w:rFonts w:ascii="Times New Roman" w:hAnsi="Times New Roman" w:cs="Times New Roman"/>
              <w:b/>
              <w:noProof/>
              <w:sz w:val="20"/>
              <w:szCs w:val="20"/>
            </w:rPr>
            <w:t>, Universitatea din Craiova, Facultatea de Stiinte Economice, Craiova.</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b/>
              <w:noProof/>
              <w:sz w:val="20"/>
              <w:szCs w:val="20"/>
            </w:rPr>
          </w:pPr>
          <w:r w:rsidRPr="008F00C9">
            <w:rPr>
              <w:rFonts w:ascii="Times New Roman" w:hAnsi="Times New Roman" w:cs="Times New Roman"/>
              <w:b/>
              <w:noProof/>
              <w:sz w:val="20"/>
              <w:szCs w:val="20"/>
            </w:rPr>
            <w:t xml:space="preserve">Radu, I 2010c, 'Premisele istorice ale industriei fondurilor private equity', </w:t>
          </w:r>
          <w:r w:rsidRPr="008F00C9">
            <w:rPr>
              <w:rFonts w:ascii="Times New Roman" w:hAnsi="Times New Roman" w:cs="Times New Roman"/>
              <w:b/>
              <w:i/>
              <w:iCs/>
              <w:noProof/>
              <w:sz w:val="20"/>
              <w:szCs w:val="20"/>
            </w:rPr>
            <w:t>Buletinul Ştiinţific al Facultăţii de Finanţe, Bănci şi Contabilitate, UCDC Braşov, Nr.11-2010, Editura Infomarket Braşov</w:t>
          </w:r>
          <w:r w:rsidRPr="008F00C9">
            <w:rPr>
              <w:rFonts w:ascii="Times New Roman" w:hAnsi="Times New Roman" w:cs="Times New Roman"/>
              <w:b/>
              <w:noProof/>
              <w:sz w:val="20"/>
              <w:szCs w:val="20"/>
            </w:rPr>
            <w:t>, pp. 335-338.</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b/>
              <w:noProof/>
              <w:sz w:val="20"/>
              <w:szCs w:val="20"/>
            </w:rPr>
          </w:pPr>
          <w:r w:rsidRPr="008F00C9">
            <w:rPr>
              <w:rFonts w:ascii="Times New Roman" w:hAnsi="Times New Roman" w:cs="Times New Roman"/>
              <w:b/>
              <w:noProof/>
              <w:sz w:val="20"/>
              <w:szCs w:val="20"/>
            </w:rPr>
            <w:t>Radu, I 2010d, 'Ref. doc. 1. Motivaţia constituirii fondurilor de investiţii', FSEGA-UBB Cluj Napoca, Cluj-Napoca.</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b/>
              <w:noProof/>
              <w:sz w:val="20"/>
              <w:szCs w:val="20"/>
            </w:rPr>
          </w:pPr>
          <w:r w:rsidRPr="008F00C9">
            <w:rPr>
              <w:rFonts w:ascii="Times New Roman" w:hAnsi="Times New Roman" w:cs="Times New Roman"/>
              <w:b/>
              <w:noProof/>
              <w:sz w:val="20"/>
              <w:szCs w:val="20"/>
            </w:rPr>
            <w:t>Radu, I 2011, 'Ref.doc.2 - Piaţa fondurilor de investiţii - studiu comparativ', FSEGA-UBB Cluj Napoca, Cluj-Napoca.</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b/>
              <w:noProof/>
              <w:sz w:val="20"/>
              <w:szCs w:val="20"/>
            </w:rPr>
          </w:pPr>
          <w:r w:rsidRPr="008F00C9">
            <w:rPr>
              <w:rFonts w:ascii="Times New Roman" w:hAnsi="Times New Roman" w:cs="Times New Roman"/>
              <w:b/>
              <w:noProof/>
              <w:sz w:val="20"/>
              <w:szCs w:val="20"/>
            </w:rPr>
            <w:t xml:space="preserve">Radu, I 2012, 'Rolul fondurilor de investiţii în sprijinirea economiei reale şi fundamentarea premiselor de dezvoltare economică sustenabilă', </w:t>
          </w:r>
          <w:r w:rsidRPr="008F00C9">
            <w:rPr>
              <w:rFonts w:ascii="Times New Roman" w:hAnsi="Times New Roman" w:cs="Times New Roman"/>
              <w:b/>
              <w:i/>
              <w:iCs/>
              <w:noProof/>
              <w:sz w:val="20"/>
              <w:szCs w:val="20"/>
            </w:rPr>
            <w:t>Buletinul Ştiinţific al Facultăţii de Finanţe, Bănci şi Contabilitate - UCDC Braşov, Nr.13</w:t>
          </w:r>
          <w:r w:rsidRPr="008F00C9">
            <w:rPr>
              <w:rFonts w:ascii="Times New Roman" w:hAnsi="Times New Roman" w:cs="Times New Roman"/>
              <w:b/>
              <w:noProof/>
              <w:sz w:val="20"/>
              <w:szCs w:val="20"/>
            </w:rPr>
            <w:t>.</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b/>
              <w:noProof/>
              <w:sz w:val="20"/>
              <w:szCs w:val="20"/>
            </w:rPr>
          </w:pPr>
          <w:r w:rsidRPr="008F00C9">
            <w:rPr>
              <w:rFonts w:ascii="Times New Roman" w:hAnsi="Times New Roman" w:cs="Times New Roman"/>
              <w:b/>
              <w:noProof/>
              <w:sz w:val="20"/>
              <w:szCs w:val="20"/>
            </w:rPr>
            <w:t xml:space="preserve">Radu, I &amp; Nistor, I 2010, 'Private equity - a challenge or a chance?', </w:t>
          </w:r>
          <w:r w:rsidRPr="008F00C9">
            <w:rPr>
              <w:rFonts w:ascii="Times New Roman" w:hAnsi="Times New Roman" w:cs="Times New Roman"/>
              <w:b/>
              <w:i/>
              <w:iCs/>
              <w:noProof/>
              <w:sz w:val="20"/>
              <w:szCs w:val="20"/>
            </w:rPr>
            <w:t>International Conference: European Integration. New Challenges, 6th edition, 28-29 May,</w:t>
          </w:r>
          <w:r w:rsidRPr="008F00C9">
            <w:rPr>
              <w:rFonts w:ascii="Times New Roman" w:hAnsi="Times New Roman" w:cs="Times New Roman"/>
              <w:b/>
              <w:noProof/>
              <w:sz w:val="20"/>
              <w:szCs w:val="20"/>
            </w:rPr>
            <w:t xml:space="preserve"> Universitatea din Oradea, Facultatea de Stiinte Economice, Oradea, http://ideas.repec.org/a/ora/journl/v1y2010i2p629-634.html.</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b/>
              <w:noProof/>
              <w:sz w:val="20"/>
              <w:szCs w:val="20"/>
            </w:rPr>
          </w:pPr>
          <w:r w:rsidRPr="008F00C9">
            <w:rPr>
              <w:rFonts w:ascii="Times New Roman" w:hAnsi="Times New Roman" w:cs="Times New Roman"/>
              <w:b/>
              <w:noProof/>
              <w:sz w:val="20"/>
              <w:szCs w:val="20"/>
            </w:rPr>
            <w:t xml:space="preserve">Radu, I &amp; Sava, CC 2012b, 'Shifting investments strategy from equity funds to money market funds - the case of Romanian open-end fund market during the financial crisis', </w:t>
          </w:r>
          <w:r w:rsidRPr="008F00C9">
            <w:rPr>
              <w:rFonts w:ascii="Times New Roman" w:hAnsi="Times New Roman" w:cs="Times New Roman"/>
              <w:b/>
              <w:i/>
              <w:iCs/>
              <w:noProof/>
              <w:sz w:val="20"/>
              <w:szCs w:val="20"/>
            </w:rPr>
            <w:t>Bulletin of Transilvania University of Braşov Vol.5(54)</w:t>
          </w:r>
          <w:r w:rsidRPr="008F00C9">
            <w:rPr>
              <w:rFonts w:ascii="Times New Roman" w:hAnsi="Times New Roman" w:cs="Times New Roman"/>
              <w:b/>
              <w:noProof/>
              <w:sz w:val="20"/>
              <w:szCs w:val="20"/>
            </w:rPr>
            <w:t>, p. 155.</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Raţiu-Suciu, C, Luban, F, Hîncu, D &amp; Ciocoiu, N 2009, </w:t>
          </w:r>
          <w:r w:rsidRPr="008F00C9">
            <w:rPr>
              <w:rFonts w:ascii="Times New Roman" w:hAnsi="Times New Roman" w:cs="Times New Roman"/>
              <w:i/>
              <w:iCs/>
              <w:noProof/>
              <w:sz w:val="20"/>
              <w:szCs w:val="20"/>
            </w:rPr>
            <w:t>Modelare economică - Ediţia a II-a</w:t>
          </w:r>
          <w:r w:rsidRPr="008F00C9">
            <w:rPr>
              <w:rFonts w:ascii="Times New Roman" w:hAnsi="Times New Roman" w:cs="Times New Roman"/>
              <w:noProof/>
              <w:sz w:val="20"/>
              <w:szCs w:val="20"/>
            </w:rPr>
            <w:t>, Editura ASE, Bucureşti.</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Renneboog, L 2008, 'The performance of socially responsible mutual funds', </w:t>
          </w:r>
          <w:r w:rsidRPr="008F00C9">
            <w:rPr>
              <w:rFonts w:ascii="Times New Roman" w:hAnsi="Times New Roman" w:cs="Times New Roman"/>
              <w:i/>
              <w:iCs/>
              <w:noProof/>
              <w:sz w:val="20"/>
              <w:szCs w:val="20"/>
            </w:rPr>
            <w:t>Journal of Corporate Finance 14.3</w:t>
          </w:r>
          <w:r w:rsidRPr="008F00C9">
            <w:rPr>
              <w:rFonts w:ascii="Times New Roman" w:hAnsi="Times New Roman" w:cs="Times New Roman"/>
              <w:noProof/>
              <w:sz w:val="20"/>
              <w:szCs w:val="20"/>
            </w:rPr>
            <w:t>, pp. 302-322.</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Robu, V &amp; Sandu, MI 2011, 'Analiza corelaţiei dintre dimensiunea şi performanţa fondurilor private de pensii', </w:t>
          </w:r>
          <w:r w:rsidRPr="008F00C9">
            <w:rPr>
              <w:rFonts w:ascii="Times New Roman" w:hAnsi="Times New Roman" w:cs="Times New Roman"/>
              <w:i/>
              <w:iCs/>
              <w:noProof/>
              <w:sz w:val="20"/>
              <w:szCs w:val="20"/>
            </w:rPr>
            <w:t>Revista Economie teoretică şi aplicată, Vol. XVIII, No.3-556</w:t>
          </w:r>
          <w:r w:rsidRPr="008F00C9">
            <w:rPr>
              <w:rFonts w:ascii="Times New Roman" w:hAnsi="Times New Roman" w:cs="Times New Roman"/>
              <w:noProof/>
              <w:sz w:val="20"/>
              <w:szCs w:val="20"/>
            </w:rPr>
            <w:t>, pp. 69-79.</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Rochiramani, M, Doiphode, A &amp; Chha, A 2008, 'Research Paper Report on Private Equity', Research Paper Report, SP Jain Center of Management Singapore, SP Jain Center of Management Singapore, available online at: http://ssrn.com/abstract=1448200, page.14, SP Jain Center of Management Singapore, Singapore.</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Rochiramani, M, Doiphode, A &amp; Chhabra, A 2009, 'Private Equity: Post Exit (Via IPO) Performance Analysis', Available at SSRN 1448200.</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Roman, M &amp; Suciu, CM 2011, 'Analiza eficientei activitatii de cercetare dezvoltare inovare prin metoda DEA', </w:t>
          </w:r>
          <w:r w:rsidRPr="008F00C9">
            <w:rPr>
              <w:rFonts w:ascii="Times New Roman" w:hAnsi="Times New Roman" w:cs="Times New Roman"/>
              <w:i/>
              <w:iCs/>
              <w:noProof/>
              <w:sz w:val="20"/>
              <w:szCs w:val="20"/>
            </w:rPr>
            <w:t>The 7th International Conference on Management of Technological Changes</w:t>
          </w:r>
          <w:r w:rsidRPr="008F00C9">
            <w:rPr>
              <w:rFonts w:ascii="Times New Roman" w:hAnsi="Times New Roman" w:cs="Times New Roman"/>
              <w:noProof/>
              <w:sz w:val="20"/>
              <w:szCs w:val="20"/>
            </w:rPr>
            <w:t>, Grecia, Alexandrupolis.</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Roșoiu, L 2010, 'Fondurile de acțiuni, în cursă cu indicii bursieri', </w:t>
          </w:r>
          <w:r w:rsidRPr="008F00C9">
            <w:rPr>
              <w:rFonts w:ascii="Times New Roman" w:hAnsi="Times New Roman" w:cs="Times New Roman"/>
              <w:i/>
              <w:iCs/>
              <w:noProof/>
              <w:sz w:val="20"/>
              <w:szCs w:val="20"/>
            </w:rPr>
            <w:t>Forbes România</w:t>
          </w:r>
          <w:r w:rsidRPr="008F00C9">
            <w:rPr>
              <w:rFonts w:ascii="Times New Roman" w:hAnsi="Times New Roman" w:cs="Times New Roman"/>
              <w:noProof/>
              <w:sz w:val="20"/>
              <w:szCs w:val="20"/>
            </w:rPr>
            <w:t>, 17 Mai 2010, pp. 26-27.</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Saman, C 2009, 'Influenţa incertitudinii macroeconomice asupra investiţiilor- analiza empirică în cazul României', Working Papers of Macroeconomic Modelling Seminar No.092202, Institute of Economic Forecasting, Bucuresti.</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b/>
              <w:noProof/>
              <w:sz w:val="20"/>
              <w:szCs w:val="20"/>
            </w:rPr>
          </w:pPr>
          <w:r w:rsidRPr="008F00C9">
            <w:rPr>
              <w:rFonts w:ascii="Times New Roman" w:hAnsi="Times New Roman" w:cs="Times New Roman"/>
              <w:b/>
              <w:noProof/>
              <w:sz w:val="20"/>
              <w:szCs w:val="20"/>
            </w:rPr>
            <w:lastRenderedPageBreak/>
            <w:t xml:space="preserve">Sava, CC &amp; Radu, I 2012b, 'Challenges of operating and complying with the UCITS IV Directive', </w:t>
          </w:r>
          <w:r w:rsidRPr="008F00C9">
            <w:rPr>
              <w:rFonts w:ascii="Times New Roman" w:hAnsi="Times New Roman" w:cs="Times New Roman"/>
              <w:b/>
              <w:i/>
              <w:iCs/>
              <w:noProof/>
              <w:sz w:val="20"/>
              <w:szCs w:val="20"/>
            </w:rPr>
            <w:t>Revista Economica - Supplement no.4/2012 Section: Banking, Accounting and Financial System form the 21st Century Perspective</w:t>
          </w:r>
          <w:r w:rsidRPr="008F00C9">
            <w:rPr>
              <w:rFonts w:ascii="Times New Roman" w:hAnsi="Times New Roman" w:cs="Times New Roman"/>
              <w:b/>
              <w:noProof/>
              <w:sz w:val="20"/>
              <w:szCs w:val="20"/>
            </w:rPr>
            <w:t>, pp. 577-583.</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Schroder, M 2004, 'The performance of socially responsible investments: investment funds and indices', </w:t>
          </w:r>
          <w:r w:rsidRPr="008F00C9">
            <w:rPr>
              <w:rFonts w:ascii="Times New Roman" w:hAnsi="Times New Roman" w:cs="Times New Roman"/>
              <w:i/>
              <w:iCs/>
              <w:noProof/>
              <w:sz w:val="20"/>
              <w:szCs w:val="20"/>
            </w:rPr>
            <w:t>Journal of Financial Markets and Portfolio Management, Vol. 18, No.2</w:t>
          </w:r>
          <w:r w:rsidRPr="008F00C9">
            <w:rPr>
              <w:rFonts w:ascii="Times New Roman" w:hAnsi="Times New Roman" w:cs="Times New Roman"/>
              <w:noProof/>
              <w:sz w:val="20"/>
              <w:szCs w:val="20"/>
            </w:rPr>
            <w:t>.</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Secară, B 2008, 'Capitalul de risc în consolidarea financiară a întreprinderii', </w:t>
          </w:r>
          <w:r w:rsidRPr="008F00C9">
            <w:rPr>
              <w:rFonts w:ascii="Times New Roman" w:hAnsi="Times New Roman" w:cs="Times New Roman"/>
              <w:i/>
              <w:iCs/>
              <w:noProof/>
              <w:sz w:val="20"/>
              <w:szCs w:val="20"/>
            </w:rPr>
            <w:t>Tribuna Economică nr.19</w:t>
          </w:r>
          <w:r w:rsidRPr="008F00C9">
            <w:rPr>
              <w:rFonts w:ascii="Times New Roman" w:hAnsi="Times New Roman" w:cs="Times New Roman"/>
              <w:noProof/>
              <w:sz w:val="20"/>
              <w:szCs w:val="20"/>
            </w:rPr>
            <w:t>, 2008, pp. 25-28.</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Shapiro, R &amp; Pham, N 2008, 'American Jobs and the Impact of Private Equity Transactions”', Private Equity Council, January 2008.</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Shell, J 2006, </w:t>
          </w:r>
          <w:r w:rsidRPr="008F00C9">
            <w:rPr>
              <w:rFonts w:ascii="Times New Roman" w:hAnsi="Times New Roman" w:cs="Times New Roman"/>
              <w:i/>
              <w:iCs/>
              <w:noProof/>
              <w:sz w:val="20"/>
              <w:szCs w:val="20"/>
            </w:rPr>
            <w:t>Private Equity Funds. Business Structure and Operations</w:t>
          </w:r>
          <w:r w:rsidRPr="008F00C9">
            <w:rPr>
              <w:rFonts w:ascii="Times New Roman" w:hAnsi="Times New Roman" w:cs="Times New Roman"/>
              <w:noProof/>
              <w:sz w:val="20"/>
              <w:szCs w:val="20"/>
            </w:rPr>
            <w:t>, Ed. Law Journall Press, New York.</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Shueth, S 2003, 'Socially responsible investing in the United States', </w:t>
          </w:r>
          <w:r w:rsidRPr="008F00C9">
            <w:rPr>
              <w:rFonts w:ascii="Times New Roman" w:hAnsi="Times New Roman" w:cs="Times New Roman"/>
              <w:i/>
              <w:iCs/>
              <w:noProof/>
              <w:sz w:val="20"/>
              <w:szCs w:val="20"/>
            </w:rPr>
            <w:t>Journal of Business Ethics, Vol. 43, No.3</w:t>
          </w:r>
          <w:r w:rsidRPr="008F00C9">
            <w:rPr>
              <w:rFonts w:ascii="Times New Roman" w:hAnsi="Times New Roman" w:cs="Times New Roman"/>
              <w:noProof/>
              <w:sz w:val="20"/>
              <w:szCs w:val="20"/>
            </w:rPr>
            <w:t>, pp. 189-194.</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Sparkes, R 2002, </w:t>
          </w:r>
          <w:r w:rsidRPr="008F00C9">
            <w:rPr>
              <w:rFonts w:ascii="Times New Roman" w:hAnsi="Times New Roman" w:cs="Times New Roman"/>
              <w:i/>
              <w:iCs/>
              <w:noProof/>
              <w:sz w:val="20"/>
              <w:szCs w:val="20"/>
            </w:rPr>
            <w:t>Socially responsible investment: a global revolution</w:t>
          </w:r>
          <w:r w:rsidRPr="008F00C9">
            <w:rPr>
              <w:rFonts w:ascii="Times New Roman" w:hAnsi="Times New Roman" w:cs="Times New Roman"/>
              <w:noProof/>
              <w:sz w:val="20"/>
              <w:szCs w:val="20"/>
            </w:rPr>
            <w:t>, Wiley Sons Publication.</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Stallings, S 2006, </w:t>
          </w:r>
          <w:r w:rsidRPr="008F00C9">
            <w:rPr>
              <w:rFonts w:ascii="Times New Roman" w:hAnsi="Times New Roman" w:cs="Times New Roman"/>
              <w:i/>
              <w:iCs/>
              <w:noProof/>
              <w:sz w:val="20"/>
              <w:szCs w:val="20"/>
            </w:rPr>
            <w:t>Introduction to Private Equity</w:t>
          </w:r>
          <w:r w:rsidRPr="008F00C9">
            <w:rPr>
              <w:rFonts w:ascii="Times New Roman" w:hAnsi="Times New Roman" w:cs="Times New Roman"/>
              <w:noProof/>
              <w:sz w:val="20"/>
              <w:szCs w:val="20"/>
            </w:rPr>
            <w:t>.</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Stoica, V &amp; Corbu, I 2006, </w:t>
          </w:r>
          <w:r w:rsidRPr="008F00C9">
            <w:rPr>
              <w:rFonts w:ascii="Times New Roman" w:hAnsi="Times New Roman" w:cs="Times New Roman"/>
              <w:i/>
              <w:iCs/>
              <w:noProof/>
              <w:sz w:val="20"/>
              <w:szCs w:val="20"/>
            </w:rPr>
            <w:t>Sistemul bursier international</w:t>
          </w:r>
          <w:r w:rsidRPr="008F00C9">
            <w:rPr>
              <w:rFonts w:ascii="Times New Roman" w:hAnsi="Times New Roman" w:cs="Times New Roman"/>
              <w:noProof/>
              <w:sz w:val="20"/>
              <w:szCs w:val="20"/>
            </w:rPr>
            <w:t>, Editura Fundatiei Romania de Maine, Bucuresti.</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Taylor, M &amp; Fleming, A 1999 Sep., 'Integrated financial supervision. Lessons of Northern European Experience', Draft, Worldbank, Worldbank, Worldbank, na.</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The Social Investment Forum Foundation 2010, 'Report on Socially Responsible Investing Trends in the United States', SIFF.</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Todea, A 2006, </w:t>
          </w:r>
          <w:r w:rsidRPr="008F00C9">
            <w:rPr>
              <w:rFonts w:ascii="Times New Roman" w:hAnsi="Times New Roman" w:cs="Times New Roman"/>
              <w:i/>
              <w:iCs/>
              <w:noProof/>
              <w:sz w:val="20"/>
              <w:szCs w:val="20"/>
            </w:rPr>
            <w:t>Investitii. Selectia si finantarea proiectelor de investitii. Investitii financiare si gestiunea portofoliului</w:t>
          </w:r>
          <w:r w:rsidRPr="008F00C9">
            <w:rPr>
              <w:rFonts w:ascii="Times New Roman" w:hAnsi="Times New Roman" w:cs="Times New Roman"/>
              <w:noProof/>
              <w:sz w:val="20"/>
              <w:szCs w:val="20"/>
            </w:rPr>
            <w:t>, Editura Casa Cartii de Stiinta, Cluj-Napoca.</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Turcas, DL &amp; Turcas, FM 2009, 'Pieţe de capital şi strategii investiţionale,', </w:t>
          </w:r>
          <w:r w:rsidRPr="008F00C9">
            <w:rPr>
              <w:rFonts w:ascii="Times New Roman" w:hAnsi="Times New Roman" w:cs="Times New Roman"/>
              <w:i/>
              <w:iCs/>
              <w:noProof/>
              <w:sz w:val="20"/>
              <w:szCs w:val="20"/>
            </w:rPr>
            <w:t>A 10-a conferinţă internaţională Finanţele şi stabilitatea economic în contextul crizei financiare, 11-12 Decembrie 2009</w:t>
          </w:r>
          <w:r w:rsidRPr="008F00C9">
            <w:rPr>
              <w:rFonts w:ascii="Times New Roman" w:hAnsi="Times New Roman" w:cs="Times New Roman"/>
              <w:noProof/>
              <w:sz w:val="20"/>
              <w:szCs w:val="20"/>
            </w:rPr>
            <w:t>, ASE Bucuresti, Suplimentul Revistei de Economie Teoretică şi Aplicată, Bucuresti.</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Vasilescu Giurcă, L &amp; Simion, S 2009, 'Facilitatea accesului întreprinderilor mici şi mijlocii inovative la fondurile de capital de risc', </w:t>
          </w:r>
          <w:r w:rsidRPr="008F00C9">
            <w:rPr>
              <w:rFonts w:ascii="Times New Roman" w:hAnsi="Times New Roman" w:cs="Times New Roman"/>
              <w:i/>
              <w:iCs/>
              <w:noProof/>
              <w:sz w:val="20"/>
              <w:szCs w:val="20"/>
            </w:rPr>
            <w:t>Revista de Finanţe Publice şi Contabilitate No.1</w:t>
          </w:r>
          <w:r w:rsidRPr="008F00C9">
            <w:rPr>
              <w:rFonts w:ascii="Times New Roman" w:hAnsi="Times New Roman" w:cs="Times New Roman"/>
              <w:noProof/>
              <w:sz w:val="20"/>
              <w:szCs w:val="20"/>
            </w:rPr>
            <w:t>, 2009, pp. 22-26.</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Vasilescu, LG &amp; Popa, A 2011, 'Fondurile cu capital de risc – alteranativă de dezvoltare şi inovare pentru firme,', </w:t>
          </w:r>
          <w:r w:rsidRPr="008F00C9">
            <w:rPr>
              <w:rFonts w:ascii="Times New Roman" w:hAnsi="Times New Roman" w:cs="Times New Roman"/>
              <w:i/>
              <w:iCs/>
              <w:noProof/>
              <w:sz w:val="20"/>
              <w:szCs w:val="20"/>
            </w:rPr>
            <w:t>Analele Universităţii Constantin Brancusi din Targu Jiu, Seria Economie, Nr.1- 2011,</w:t>
          </w:r>
          <w:r w:rsidRPr="008F00C9">
            <w:rPr>
              <w:rFonts w:ascii="Times New Roman" w:hAnsi="Times New Roman" w:cs="Times New Roman"/>
              <w:noProof/>
              <w:sz w:val="20"/>
              <w:szCs w:val="20"/>
            </w:rPr>
            <w:t xml:space="preserve"> pp. 204-213.</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Vasilescu, I &amp; Românu, I 2000, </w:t>
          </w:r>
          <w:r w:rsidRPr="008F00C9">
            <w:rPr>
              <w:rFonts w:ascii="Times New Roman" w:hAnsi="Times New Roman" w:cs="Times New Roman"/>
              <w:i/>
              <w:iCs/>
              <w:noProof/>
              <w:sz w:val="20"/>
              <w:szCs w:val="20"/>
            </w:rPr>
            <w:t>Investiţii</w:t>
          </w:r>
          <w:r w:rsidRPr="008F00C9">
            <w:rPr>
              <w:rFonts w:ascii="Times New Roman" w:hAnsi="Times New Roman" w:cs="Times New Roman"/>
              <w:noProof/>
              <w:sz w:val="20"/>
              <w:szCs w:val="20"/>
            </w:rPr>
            <w:t>, Editura Economică, Bucuresti.</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Voicu, E 2011, 'UCITS IV. Pasaportul SAI si noile reguli de informare a investitorilor', Conference presentation, Institutul Bancar Roman, Piata de capital din Romania in contexul schimbarii europene - operatiuni transfrontaliere cu instrumente financiare, Bucuresti.</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Voinea, O 2015, 'Adevar sau Provocare - Codul Fiscal între relansarea economiei si impactul bugetar', </w:t>
          </w:r>
          <w:r w:rsidRPr="008F00C9">
            <w:rPr>
              <w:rFonts w:ascii="Times New Roman" w:hAnsi="Times New Roman" w:cs="Times New Roman"/>
              <w:i/>
              <w:iCs/>
              <w:noProof/>
              <w:sz w:val="20"/>
              <w:szCs w:val="20"/>
            </w:rPr>
            <w:t>Piata financiara</w:t>
          </w:r>
          <w:r w:rsidRPr="008F00C9">
            <w:rPr>
              <w:rFonts w:ascii="Times New Roman" w:hAnsi="Times New Roman" w:cs="Times New Roman"/>
              <w:noProof/>
              <w:sz w:val="20"/>
              <w:szCs w:val="20"/>
            </w:rPr>
            <w:t>, Martie 2015, pp. 18-22.</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Voinea, O 2015, 'Marcarea la piață, un imens beneficiu pentru industria fondurilor', </w:t>
          </w:r>
          <w:r w:rsidRPr="008F00C9">
            <w:rPr>
              <w:rFonts w:ascii="Times New Roman" w:hAnsi="Times New Roman" w:cs="Times New Roman"/>
              <w:i/>
              <w:iCs/>
              <w:noProof/>
              <w:sz w:val="20"/>
              <w:szCs w:val="20"/>
            </w:rPr>
            <w:t>Piața financiară</w:t>
          </w:r>
          <w:r w:rsidRPr="008F00C9">
            <w:rPr>
              <w:rFonts w:ascii="Times New Roman" w:hAnsi="Times New Roman" w:cs="Times New Roman"/>
              <w:noProof/>
              <w:sz w:val="20"/>
              <w:szCs w:val="20"/>
            </w:rPr>
            <w:t>, Martie 2015, p. 59.</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World Economic Forum January 2008, 'Private Equity and Employment', The Global Economic Impact of Private Equity Report 2008, WEF.</w:t>
          </w:r>
        </w:p>
        <w:p w:rsidR="00CE20D2" w:rsidRPr="008F00C9" w:rsidRDefault="00CE20D2" w:rsidP="008E36E4">
          <w:pPr>
            <w:pStyle w:val="Bibliography"/>
            <w:numPr>
              <w:ilvl w:val="0"/>
              <w:numId w:val="1"/>
            </w:numPr>
            <w:spacing w:after="60" w:line="240" w:lineRule="auto"/>
            <w:jc w:val="both"/>
            <w:rPr>
              <w:rFonts w:ascii="Times New Roman" w:hAnsi="Times New Roman" w:cs="Times New Roman"/>
              <w:noProof/>
              <w:sz w:val="20"/>
              <w:szCs w:val="20"/>
            </w:rPr>
          </w:pPr>
          <w:r w:rsidRPr="008F00C9">
            <w:rPr>
              <w:rFonts w:ascii="Times New Roman" w:hAnsi="Times New Roman" w:cs="Times New Roman"/>
              <w:noProof/>
              <w:sz w:val="20"/>
              <w:szCs w:val="20"/>
            </w:rPr>
            <w:t xml:space="preserve">Zoicaş-Ienciu, A 2009, </w:t>
          </w:r>
          <w:r w:rsidRPr="008F00C9">
            <w:rPr>
              <w:rFonts w:ascii="Times New Roman" w:hAnsi="Times New Roman" w:cs="Times New Roman"/>
              <w:i/>
              <w:iCs/>
              <w:noProof/>
              <w:sz w:val="20"/>
              <w:szCs w:val="20"/>
            </w:rPr>
            <w:t>Comportamentul investiţional pe piaţa bursieră din România</w:t>
          </w:r>
          <w:r w:rsidRPr="008F00C9">
            <w:rPr>
              <w:rFonts w:ascii="Times New Roman" w:hAnsi="Times New Roman" w:cs="Times New Roman"/>
              <w:noProof/>
              <w:sz w:val="20"/>
              <w:szCs w:val="20"/>
            </w:rPr>
            <w:t>, Editura Risoprint, Cluj Napoca.</w:t>
          </w:r>
        </w:p>
        <w:p w:rsidR="00CE20D2" w:rsidRPr="008F00C9" w:rsidRDefault="004B4616" w:rsidP="00CE20D2">
          <w:pPr>
            <w:spacing w:after="120" w:line="360" w:lineRule="auto"/>
            <w:jc w:val="both"/>
          </w:pPr>
        </w:p>
      </w:sdtContent>
    </w:sdt>
    <w:p w:rsidR="00FF39D0" w:rsidRPr="008F00C9" w:rsidRDefault="00FF39D0">
      <w:pPr>
        <w:spacing w:after="120" w:line="360" w:lineRule="auto"/>
        <w:jc w:val="both"/>
      </w:pPr>
    </w:p>
    <w:sectPr w:rsidR="00FF39D0" w:rsidRPr="008F00C9" w:rsidSect="0025265C">
      <w:headerReference w:type="default" r:id="rId53"/>
      <w:pgSz w:w="12240" w:h="15840"/>
      <w:pgMar w:top="1440" w:right="1440" w:bottom="709" w:left="1440" w:header="283" w:footer="2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15A" w:rsidRDefault="003C215A" w:rsidP="0025265C">
      <w:pPr>
        <w:spacing w:after="0" w:line="240" w:lineRule="auto"/>
      </w:pPr>
      <w:r>
        <w:separator/>
      </w:r>
    </w:p>
  </w:endnote>
  <w:endnote w:type="continuationSeparator" w:id="1">
    <w:p w:rsidR="003C215A" w:rsidRDefault="003C215A" w:rsidP="002526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otype Sort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76656"/>
      <w:docPartObj>
        <w:docPartGallery w:val="Page Numbers (Bottom of Page)"/>
        <w:docPartUnique/>
      </w:docPartObj>
    </w:sdtPr>
    <w:sdtContent>
      <w:p w:rsidR="0083199F" w:rsidRDefault="0083199F">
        <w:pPr>
          <w:pStyle w:val="Footer"/>
          <w:jc w:val="center"/>
        </w:pPr>
        <w:fldSimple w:instr=" PAGE   \* MERGEFORMAT ">
          <w:r w:rsidR="00116B33">
            <w:rPr>
              <w:noProof/>
            </w:rPr>
            <w:t>2</w:t>
          </w:r>
        </w:fldSimple>
      </w:p>
    </w:sdtContent>
  </w:sdt>
  <w:p w:rsidR="0083199F" w:rsidRDefault="008319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15A" w:rsidRDefault="003C215A" w:rsidP="0025265C">
      <w:pPr>
        <w:spacing w:after="0" w:line="240" w:lineRule="auto"/>
      </w:pPr>
      <w:r>
        <w:separator/>
      </w:r>
    </w:p>
  </w:footnote>
  <w:footnote w:type="continuationSeparator" w:id="1">
    <w:p w:rsidR="003C215A" w:rsidRDefault="003C215A" w:rsidP="002526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99F" w:rsidRDefault="0083199F" w:rsidP="00CE20D2">
    <w:pPr>
      <w:pStyle w:val="Header"/>
      <w:tabs>
        <w:tab w:val="clear" w:pos="4680"/>
      </w:tabs>
    </w:pPr>
    <w:r>
      <w:rPr>
        <w:noProof/>
      </w:rPr>
      <w:drawing>
        <wp:inline distT="0" distB="0" distL="0" distR="0">
          <wp:extent cx="695960" cy="688975"/>
          <wp:effectExtent l="19050" t="0" r="8890" b="0"/>
          <wp:docPr id="1" name="Picture 1" descr="Logo_U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BB"/>
                  <pic:cNvPicPr>
                    <a:picLocks noChangeAspect="1" noChangeArrowheads="1"/>
                  </pic:cNvPicPr>
                </pic:nvPicPr>
                <pic:blipFill>
                  <a:blip r:embed="rId1"/>
                  <a:srcRect/>
                  <a:stretch>
                    <a:fillRect/>
                  </a:stretch>
                </pic:blipFill>
                <pic:spPr bwMode="auto">
                  <a:xfrm>
                    <a:off x="0" y="0"/>
                    <a:ext cx="695960" cy="688975"/>
                  </a:xfrm>
                  <a:prstGeom prst="rect">
                    <a:avLst/>
                  </a:prstGeom>
                  <a:noFill/>
                  <a:ln w="9525">
                    <a:noFill/>
                    <a:miter lim="800000"/>
                    <a:headEnd/>
                    <a:tailEnd/>
                  </a:ln>
                </pic:spPr>
              </pic:pic>
            </a:graphicData>
          </a:graphic>
        </wp:inline>
      </w:drawing>
    </w:r>
    <w:r>
      <w:tab/>
    </w:r>
    <w:r>
      <w:rPr>
        <w:noProof/>
      </w:rPr>
      <w:drawing>
        <wp:inline distT="0" distB="0" distL="0" distR="0">
          <wp:extent cx="3130533" cy="689113"/>
          <wp:effectExtent l="19050" t="0" r="0" b="0"/>
          <wp:docPr id="4" name="Picture 4" descr="http://econ.ubbcluj.ro/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con.ubbcluj.ro/img/logo.png"/>
                  <pic:cNvPicPr>
                    <a:picLocks noChangeAspect="1" noChangeArrowheads="1"/>
                  </pic:cNvPicPr>
                </pic:nvPicPr>
                <pic:blipFill>
                  <a:blip r:embed="rId2"/>
                  <a:srcRect/>
                  <a:stretch>
                    <a:fillRect/>
                  </a:stretch>
                </pic:blipFill>
                <pic:spPr bwMode="auto">
                  <a:xfrm>
                    <a:off x="0" y="0"/>
                    <a:ext cx="3137732" cy="690698"/>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99F" w:rsidRDefault="0083199F" w:rsidP="00CE20D2">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61B0"/>
    <w:multiLevelType w:val="hybridMultilevel"/>
    <w:tmpl w:val="E47E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66CAE"/>
    <w:multiLevelType w:val="hybridMultilevel"/>
    <w:tmpl w:val="C200FC00"/>
    <w:lvl w:ilvl="0" w:tplc="04090001">
      <w:start w:val="1"/>
      <w:numFmt w:val="bullet"/>
      <w:lvlText w:val=""/>
      <w:lvlJc w:val="left"/>
      <w:pPr>
        <w:ind w:left="720" w:hanging="360"/>
      </w:pPr>
      <w:rPr>
        <w:rFonts w:ascii="Symbol" w:hAnsi="Symbol" w:hint="default"/>
      </w:rPr>
    </w:lvl>
    <w:lvl w:ilvl="1" w:tplc="5B3A1CD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F4029"/>
    <w:multiLevelType w:val="hybridMultilevel"/>
    <w:tmpl w:val="29645846"/>
    <w:lvl w:ilvl="0" w:tplc="0BE226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15200"/>
    <w:multiLevelType w:val="hybridMultilevel"/>
    <w:tmpl w:val="4248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B6FE2"/>
    <w:multiLevelType w:val="hybridMultilevel"/>
    <w:tmpl w:val="1DEA0D16"/>
    <w:lvl w:ilvl="0" w:tplc="0BE226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90CFC"/>
    <w:multiLevelType w:val="hybridMultilevel"/>
    <w:tmpl w:val="1CD0AB8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ED402F"/>
    <w:multiLevelType w:val="hybridMultilevel"/>
    <w:tmpl w:val="163E9DD4"/>
    <w:lvl w:ilvl="0" w:tplc="0BE2261A">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8139C2"/>
    <w:multiLevelType w:val="hybridMultilevel"/>
    <w:tmpl w:val="E8104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BE4976"/>
    <w:multiLevelType w:val="hybridMultilevel"/>
    <w:tmpl w:val="B7189FB6"/>
    <w:lvl w:ilvl="0" w:tplc="AAF4E292">
      <w:numFmt w:val="bullet"/>
      <w:lvlText w:val="-"/>
      <w:lvlJc w:val="left"/>
      <w:pPr>
        <w:ind w:left="720" w:hanging="360"/>
      </w:pPr>
      <w:rPr>
        <w:rFonts w:ascii="Calibri" w:eastAsiaTheme="minorEastAsia" w:hAnsi="Calibri" w:cstheme="minorBidi" w:hint="default"/>
      </w:rPr>
    </w:lvl>
    <w:lvl w:ilvl="1" w:tplc="AAF4E292">
      <w:numFmt w:val="bullet"/>
      <w:lvlText w:val="-"/>
      <w:lvlJc w:val="left"/>
      <w:pPr>
        <w:ind w:left="1440" w:hanging="360"/>
      </w:pPr>
      <w:rPr>
        <w:rFonts w:ascii="Calibri" w:eastAsiaTheme="minorEastAsia" w:hAnsi="Calibri" w:cstheme="minorBidi" w:hint="default"/>
      </w:rPr>
    </w:lvl>
    <w:lvl w:ilvl="2" w:tplc="04090005">
      <w:start w:val="1"/>
      <w:numFmt w:val="bullet"/>
      <w:lvlText w:val=""/>
      <w:lvlJc w:val="left"/>
      <w:pPr>
        <w:ind w:left="2160" w:hanging="360"/>
      </w:pPr>
      <w:rPr>
        <w:rFonts w:ascii="Wingdings" w:hAnsi="Wingdings" w:hint="default"/>
      </w:rPr>
    </w:lvl>
    <w:lvl w:ilvl="3" w:tplc="AAF4E292">
      <w:numFmt w:val="bullet"/>
      <w:lvlText w:val="-"/>
      <w:lvlJc w:val="left"/>
      <w:pPr>
        <w:ind w:left="2880" w:hanging="360"/>
      </w:pPr>
      <w:rPr>
        <w:rFonts w:ascii="Calibri" w:eastAsiaTheme="minorEastAsia" w:hAnsi="Calibr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9200CA"/>
    <w:multiLevelType w:val="hybridMultilevel"/>
    <w:tmpl w:val="37DA0E72"/>
    <w:lvl w:ilvl="0" w:tplc="0BE2261A">
      <w:start w:val="1"/>
      <w:numFmt w:val="bullet"/>
      <w:lvlText w:val=""/>
      <w:lvlJc w:val="left"/>
      <w:pPr>
        <w:tabs>
          <w:tab w:val="num" w:pos="2160"/>
        </w:tabs>
        <w:ind w:left="2160" w:hanging="360"/>
      </w:pPr>
      <w:rPr>
        <w:rFonts w:ascii="Symbol" w:hAnsi="Symbol" w:hint="default"/>
      </w:rPr>
    </w:lvl>
    <w:lvl w:ilvl="1" w:tplc="0BE2261A">
      <w:start w:val="1"/>
      <w:numFmt w:val="bullet"/>
      <w:lvlText w:val=""/>
      <w:lvlJc w:val="left"/>
      <w:pPr>
        <w:tabs>
          <w:tab w:val="num" w:pos="2160"/>
        </w:tabs>
        <w:ind w:left="2160" w:hanging="360"/>
      </w:pPr>
      <w:rPr>
        <w:rFonts w:ascii="Symbol" w:hAnsi="Symbol" w:hint="default"/>
      </w:rPr>
    </w:lvl>
    <w:lvl w:ilvl="2" w:tplc="9DA08D5A">
      <w:start w:val="4"/>
      <w:numFmt w:val="bullet"/>
      <w:lvlText w:val="-"/>
      <w:lvlJc w:val="left"/>
      <w:pPr>
        <w:ind w:left="2880" w:hanging="360"/>
      </w:pPr>
      <w:rPr>
        <w:rFonts w:ascii="Times New Roman" w:eastAsia="Times New Roman" w:hAnsi="Times New Roman" w:cs="Times New Roman" w:hint="default"/>
        <w:i/>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0C52BAB"/>
    <w:multiLevelType w:val="hybridMultilevel"/>
    <w:tmpl w:val="02467E30"/>
    <w:lvl w:ilvl="0" w:tplc="04090017">
      <w:start w:val="1"/>
      <w:numFmt w:val="lowerLetter"/>
      <w:lvlText w:val="%1)"/>
      <w:lvlJc w:val="left"/>
      <w:pPr>
        <w:ind w:left="324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36343412"/>
    <w:multiLevelType w:val="hybridMultilevel"/>
    <w:tmpl w:val="8D8A93E2"/>
    <w:lvl w:ilvl="0" w:tplc="AAF4E29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FB5EBE"/>
    <w:multiLevelType w:val="multilevel"/>
    <w:tmpl w:val="E7122D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E201C6F"/>
    <w:multiLevelType w:val="hybridMultilevel"/>
    <w:tmpl w:val="A760B0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F218A4"/>
    <w:multiLevelType w:val="hybridMultilevel"/>
    <w:tmpl w:val="3C702754"/>
    <w:lvl w:ilvl="0" w:tplc="AAF4E292">
      <w:numFmt w:val="bullet"/>
      <w:lvlText w:val="-"/>
      <w:lvlJc w:val="left"/>
      <w:pPr>
        <w:ind w:left="780" w:hanging="360"/>
      </w:pPr>
      <w:rPr>
        <w:rFonts w:ascii="Calibri" w:eastAsiaTheme="minorEastAsia" w:hAnsi="Calibri" w:cstheme="min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470F4770"/>
    <w:multiLevelType w:val="hybridMultilevel"/>
    <w:tmpl w:val="93E09D14"/>
    <w:lvl w:ilvl="0" w:tplc="5B3A1C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C47218"/>
    <w:multiLevelType w:val="multilevel"/>
    <w:tmpl w:val="6A04A5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C2153E7"/>
    <w:multiLevelType w:val="hybridMultilevel"/>
    <w:tmpl w:val="C39E25E2"/>
    <w:lvl w:ilvl="0" w:tplc="0BE226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605430"/>
    <w:multiLevelType w:val="hybridMultilevel"/>
    <w:tmpl w:val="7BEEF34A"/>
    <w:lvl w:ilvl="0" w:tplc="0BE226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CE5F08"/>
    <w:multiLevelType w:val="hybridMultilevel"/>
    <w:tmpl w:val="80E8DFB2"/>
    <w:lvl w:ilvl="0" w:tplc="AAF4E29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DA5C0A"/>
    <w:multiLevelType w:val="hybridMultilevel"/>
    <w:tmpl w:val="AAF2A730"/>
    <w:lvl w:ilvl="0" w:tplc="9DA08D5A">
      <w:start w:val="4"/>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AC4C74"/>
    <w:multiLevelType w:val="hybridMultilevel"/>
    <w:tmpl w:val="89C240F0"/>
    <w:lvl w:ilvl="0" w:tplc="E760DA5E">
      <w:start w:val="1"/>
      <w:numFmt w:val="bullet"/>
      <w:lvlText w:val="§"/>
      <w:lvlJc w:val="left"/>
      <w:pPr>
        <w:tabs>
          <w:tab w:val="num" w:pos="720"/>
        </w:tabs>
        <w:ind w:left="720" w:hanging="360"/>
      </w:pPr>
      <w:rPr>
        <w:rFonts w:ascii="Monotype Sorts" w:hAnsi="Monotype Sorts" w:hint="default"/>
      </w:rPr>
    </w:lvl>
    <w:lvl w:ilvl="1" w:tplc="AAF4E292">
      <w:numFmt w:val="bullet"/>
      <w:lvlText w:val="-"/>
      <w:lvlJc w:val="left"/>
      <w:pPr>
        <w:tabs>
          <w:tab w:val="num" w:pos="1440"/>
        </w:tabs>
        <w:ind w:left="1440" w:hanging="360"/>
      </w:pPr>
      <w:rPr>
        <w:rFonts w:ascii="Calibri" w:eastAsiaTheme="minorEastAsia" w:hAnsi="Calibri" w:cstheme="minorBidi" w:hint="default"/>
      </w:rPr>
    </w:lvl>
    <w:lvl w:ilvl="2" w:tplc="B2D2D9D6" w:tentative="1">
      <w:start w:val="1"/>
      <w:numFmt w:val="bullet"/>
      <w:lvlText w:val="§"/>
      <w:lvlJc w:val="left"/>
      <w:pPr>
        <w:tabs>
          <w:tab w:val="num" w:pos="2160"/>
        </w:tabs>
        <w:ind w:left="2160" w:hanging="360"/>
      </w:pPr>
      <w:rPr>
        <w:rFonts w:ascii="Monotype Sorts" w:hAnsi="Monotype Sorts" w:hint="default"/>
      </w:rPr>
    </w:lvl>
    <w:lvl w:ilvl="3" w:tplc="8E805D8A" w:tentative="1">
      <w:start w:val="1"/>
      <w:numFmt w:val="bullet"/>
      <w:lvlText w:val="§"/>
      <w:lvlJc w:val="left"/>
      <w:pPr>
        <w:tabs>
          <w:tab w:val="num" w:pos="2880"/>
        </w:tabs>
        <w:ind w:left="2880" w:hanging="360"/>
      </w:pPr>
      <w:rPr>
        <w:rFonts w:ascii="Monotype Sorts" w:hAnsi="Monotype Sorts" w:hint="default"/>
      </w:rPr>
    </w:lvl>
    <w:lvl w:ilvl="4" w:tplc="D23AB968" w:tentative="1">
      <w:start w:val="1"/>
      <w:numFmt w:val="bullet"/>
      <w:lvlText w:val="§"/>
      <w:lvlJc w:val="left"/>
      <w:pPr>
        <w:tabs>
          <w:tab w:val="num" w:pos="3600"/>
        </w:tabs>
        <w:ind w:left="3600" w:hanging="360"/>
      </w:pPr>
      <w:rPr>
        <w:rFonts w:ascii="Monotype Sorts" w:hAnsi="Monotype Sorts" w:hint="default"/>
      </w:rPr>
    </w:lvl>
    <w:lvl w:ilvl="5" w:tplc="7A80EDE2" w:tentative="1">
      <w:start w:val="1"/>
      <w:numFmt w:val="bullet"/>
      <w:lvlText w:val="§"/>
      <w:lvlJc w:val="left"/>
      <w:pPr>
        <w:tabs>
          <w:tab w:val="num" w:pos="4320"/>
        </w:tabs>
        <w:ind w:left="4320" w:hanging="360"/>
      </w:pPr>
      <w:rPr>
        <w:rFonts w:ascii="Monotype Sorts" w:hAnsi="Monotype Sorts" w:hint="default"/>
      </w:rPr>
    </w:lvl>
    <w:lvl w:ilvl="6" w:tplc="875A0610" w:tentative="1">
      <w:start w:val="1"/>
      <w:numFmt w:val="bullet"/>
      <w:lvlText w:val="§"/>
      <w:lvlJc w:val="left"/>
      <w:pPr>
        <w:tabs>
          <w:tab w:val="num" w:pos="5040"/>
        </w:tabs>
        <w:ind w:left="5040" w:hanging="360"/>
      </w:pPr>
      <w:rPr>
        <w:rFonts w:ascii="Monotype Sorts" w:hAnsi="Monotype Sorts" w:hint="default"/>
      </w:rPr>
    </w:lvl>
    <w:lvl w:ilvl="7" w:tplc="0B564CDA" w:tentative="1">
      <w:start w:val="1"/>
      <w:numFmt w:val="bullet"/>
      <w:lvlText w:val="§"/>
      <w:lvlJc w:val="left"/>
      <w:pPr>
        <w:tabs>
          <w:tab w:val="num" w:pos="5760"/>
        </w:tabs>
        <w:ind w:left="5760" w:hanging="360"/>
      </w:pPr>
      <w:rPr>
        <w:rFonts w:ascii="Monotype Sorts" w:hAnsi="Monotype Sorts" w:hint="default"/>
      </w:rPr>
    </w:lvl>
    <w:lvl w:ilvl="8" w:tplc="A92A3702" w:tentative="1">
      <w:start w:val="1"/>
      <w:numFmt w:val="bullet"/>
      <w:lvlText w:val="§"/>
      <w:lvlJc w:val="left"/>
      <w:pPr>
        <w:tabs>
          <w:tab w:val="num" w:pos="6480"/>
        </w:tabs>
        <w:ind w:left="6480" w:hanging="360"/>
      </w:pPr>
      <w:rPr>
        <w:rFonts w:ascii="Monotype Sorts" w:hAnsi="Monotype Sorts" w:hint="default"/>
      </w:rPr>
    </w:lvl>
  </w:abstractNum>
  <w:abstractNum w:abstractNumId="22">
    <w:nsid w:val="67014B88"/>
    <w:multiLevelType w:val="hybridMultilevel"/>
    <w:tmpl w:val="BBECE276"/>
    <w:lvl w:ilvl="0" w:tplc="0BE226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7F14D6"/>
    <w:multiLevelType w:val="hybridMultilevel"/>
    <w:tmpl w:val="30B05DFA"/>
    <w:lvl w:ilvl="0" w:tplc="6038A28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8844AA0"/>
    <w:multiLevelType w:val="hybridMultilevel"/>
    <w:tmpl w:val="3086EFE0"/>
    <w:lvl w:ilvl="0" w:tplc="AAF4E29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4B5A67"/>
    <w:multiLevelType w:val="hybridMultilevel"/>
    <w:tmpl w:val="DD0A81D6"/>
    <w:lvl w:ilvl="0" w:tplc="AAF4E29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1A7120"/>
    <w:multiLevelType w:val="hybridMultilevel"/>
    <w:tmpl w:val="3A788AEA"/>
    <w:lvl w:ilvl="0" w:tplc="5B3A1C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48411A"/>
    <w:multiLevelType w:val="hybridMultilevel"/>
    <w:tmpl w:val="84147E20"/>
    <w:lvl w:ilvl="0" w:tplc="5B3A1C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07005D"/>
    <w:multiLevelType w:val="hybridMultilevel"/>
    <w:tmpl w:val="34B423F8"/>
    <w:lvl w:ilvl="0" w:tplc="5B3A1C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8"/>
  </w:num>
  <w:num w:numId="4">
    <w:abstractNumId w:val="9"/>
  </w:num>
  <w:num w:numId="5">
    <w:abstractNumId w:val="0"/>
  </w:num>
  <w:num w:numId="6">
    <w:abstractNumId w:val="25"/>
  </w:num>
  <w:num w:numId="7">
    <w:abstractNumId w:val="21"/>
  </w:num>
  <w:num w:numId="8">
    <w:abstractNumId w:val="6"/>
  </w:num>
  <w:num w:numId="9">
    <w:abstractNumId w:val="15"/>
  </w:num>
  <w:num w:numId="10">
    <w:abstractNumId w:val="26"/>
  </w:num>
  <w:num w:numId="11">
    <w:abstractNumId w:val="27"/>
  </w:num>
  <w:num w:numId="12">
    <w:abstractNumId w:val="28"/>
  </w:num>
  <w:num w:numId="13">
    <w:abstractNumId w:val="19"/>
  </w:num>
  <w:num w:numId="14">
    <w:abstractNumId w:val="24"/>
  </w:num>
  <w:num w:numId="15">
    <w:abstractNumId w:val="1"/>
  </w:num>
  <w:num w:numId="16">
    <w:abstractNumId w:val="5"/>
  </w:num>
  <w:num w:numId="17">
    <w:abstractNumId w:val="13"/>
  </w:num>
  <w:num w:numId="18">
    <w:abstractNumId w:val="16"/>
  </w:num>
  <w:num w:numId="19">
    <w:abstractNumId w:val="10"/>
  </w:num>
  <w:num w:numId="20">
    <w:abstractNumId w:val="23"/>
  </w:num>
  <w:num w:numId="21">
    <w:abstractNumId w:val="3"/>
  </w:num>
  <w:num w:numId="22">
    <w:abstractNumId w:val="8"/>
  </w:num>
  <w:num w:numId="23">
    <w:abstractNumId w:val="11"/>
  </w:num>
  <w:num w:numId="24">
    <w:abstractNumId w:val="14"/>
  </w:num>
  <w:num w:numId="25">
    <w:abstractNumId w:val="12"/>
  </w:num>
  <w:num w:numId="26">
    <w:abstractNumId w:val="20"/>
  </w:num>
  <w:num w:numId="27">
    <w:abstractNumId w:val="4"/>
  </w:num>
  <w:num w:numId="28">
    <w:abstractNumId w:val="2"/>
  </w:num>
  <w:num w:numId="29">
    <w:abstractNumId w:val="2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hideSpellingErrors/>
  <w:defaultTabStop w:val="720"/>
  <w:evenAndOddHeaders/>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023CE"/>
    <w:rsid w:val="0001735A"/>
    <w:rsid w:val="00025953"/>
    <w:rsid w:val="00041F35"/>
    <w:rsid w:val="00080B1D"/>
    <w:rsid w:val="0008154F"/>
    <w:rsid w:val="0008647B"/>
    <w:rsid w:val="00094710"/>
    <w:rsid w:val="000A20F3"/>
    <w:rsid w:val="000B4754"/>
    <w:rsid w:val="000C68F5"/>
    <w:rsid w:val="000D18F0"/>
    <w:rsid w:val="000D3FC0"/>
    <w:rsid w:val="000D6DEF"/>
    <w:rsid w:val="000F0E02"/>
    <w:rsid w:val="000F3778"/>
    <w:rsid w:val="00100185"/>
    <w:rsid w:val="001023CE"/>
    <w:rsid w:val="001143FC"/>
    <w:rsid w:val="00116B33"/>
    <w:rsid w:val="00117CEA"/>
    <w:rsid w:val="00121E8D"/>
    <w:rsid w:val="00131D9E"/>
    <w:rsid w:val="00145D9C"/>
    <w:rsid w:val="00147D19"/>
    <w:rsid w:val="001810A9"/>
    <w:rsid w:val="00182B53"/>
    <w:rsid w:val="00190A3F"/>
    <w:rsid w:val="0019180E"/>
    <w:rsid w:val="001A1DEF"/>
    <w:rsid w:val="001B444B"/>
    <w:rsid w:val="001C6EA2"/>
    <w:rsid w:val="001D2157"/>
    <w:rsid w:val="001E42D7"/>
    <w:rsid w:val="00210932"/>
    <w:rsid w:val="00233FBB"/>
    <w:rsid w:val="00243D64"/>
    <w:rsid w:val="0025265C"/>
    <w:rsid w:val="00257F3E"/>
    <w:rsid w:val="00295CB7"/>
    <w:rsid w:val="002A2836"/>
    <w:rsid w:val="002B358C"/>
    <w:rsid w:val="00302CEF"/>
    <w:rsid w:val="0033747B"/>
    <w:rsid w:val="00352A17"/>
    <w:rsid w:val="00380223"/>
    <w:rsid w:val="003951E6"/>
    <w:rsid w:val="003B6C01"/>
    <w:rsid w:val="003C215A"/>
    <w:rsid w:val="003C63C0"/>
    <w:rsid w:val="003D271A"/>
    <w:rsid w:val="003D7500"/>
    <w:rsid w:val="003E6124"/>
    <w:rsid w:val="003F5218"/>
    <w:rsid w:val="00434068"/>
    <w:rsid w:val="00442507"/>
    <w:rsid w:val="00446058"/>
    <w:rsid w:val="0048787B"/>
    <w:rsid w:val="004916E9"/>
    <w:rsid w:val="004A1362"/>
    <w:rsid w:val="004B4616"/>
    <w:rsid w:val="004C614C"/>
    <w:rsid w:val="004F3EE3"/>
    <w:rsid w:val="004F437B"/>
    <w:rsid w:val="00506FED"/>
    <w:rsid w:val="0051007A"/>
    <w:rsid w:val="00510C5B"/>
    <w:rsid w:val="00515004"/>
    <w:rsid w:val="005425D8"/>
    <w:rsid w:val="00542C30"/>
    <w:rsid w:val="005473CE"/>
    <w:rsid w:val="00561D30"/>
    <w:rsid w:val="005864D8"/>
    <w:rsid w:val="005876F9"/>
    <w:rsid w:val="005C6EF9"/>
    <w:rsid w:val="005E3017"/>
    <w:rsid w:val="005E798E"/>
    <w:rsid w:val="00634376"/>
    <w:rsid w:val="00635BC6"/>
    <w:rsid w:val="00641AD9"/>
    <w:rsid w:val="00651079"/>
    <w:rsid w:val="0065531F"/>
    <w:rsid w:val="00672B9C"/>
    <w:rsid w:val="00676F55"/>
    <w:rsid w:val="00680196"/>
    <w:rsid w:val="00695698"/>
    <w:rsid w:val="006B034A"/>
    <w:rsid w:val="006B590A"/>
    <w:rsid w:val="006C16CE"/>
    <w:rsid w:val="006C35C4"/>
    <w:rsid w:val="006F30E7"/>
    <w:rsid w:val="0072044B"/>
    <w:rsid w:val="00727EA2"/>
    <w:rsid w:val="007455D8"/>
    <w:rsid w:val="00746402"/>
    <w:rsid w:val="00747DD6"/>
    <w:rsid w:val="00760D65"/>
    <w:rsid w:val="00765BBD"/>
    <w:rsid w:val="00793769"/>
    <w:rsid w:val="007B0FF4"/>
    <w:rsid w:val="007B6619"/>
    <w:rsid w:val="007D4551"/>
    <w:rsid w:val="00811ADF"/>
    <w:rsid w:val="00820260"/>
    <w:rsid w:val="00820B47"/>
    <w:rsid w:val="00822003"/>
    <w:rsid w:val="00831354"/>
    <w:rsid w:val="0083199F"/>
    <w:rsid w:val="00833AE4"/>
    <w:rsid w:val="00877F1A"/>
    <w:rsid w:val="00895681"/>
    <w:rsid w:val="008E36E4"/>
    <w:rsid w:val="008E6F0E"/>
    <w:rsid w:val="008F00C9"/>
    <w:rsid w:val="009045A6"/>
    <w:rsid w:val="00954A28"/>
    <w:rsid w:val="00957853"/>
    <w:rsid w:val="0096396D"/>
    <w:rsid w:val="00970AAE"/>
    <w:rsid w:val="009827AA"/>
    <w:rsid w:val="009910B9"/>
    <w:rsid w:val="00992A01"/>
    <w:rsid w:val="009A15A7"/>
    <w:rsid w:val="009B1B06"/>
    <w:rsid w:val="009C2A5D"/>
    <w:rsid w:val="009F572E"/>
    <w:rsid w:val="009F5C4D"/>
    <w:rsid w:val="00A27275"/>
    <w:rsid w:val="00A624F6"/>
    <w:rsid w:val="00A72AC7"/>
    <w:rsid w:val="00A7406E"/>
    <w:rsid w:val="00A864A2"/>
    <w:rsid w:val="00AA1D41"/>
    <w:rsid w:val="00AA6AF3"/>
    <w:rsid w:val="00AB5B51"/>
    <w:rsid w:val="00AC0EE1"/>
    <w:rsid w:val="00AC2104"/>
    <w:rsid w:val="00AF030F"/>
    <w:rsid w:val="00B02002"/>
    <w:rsid w:val="00B37277"/>
    <w:rsid w:val="00B510C5"/>
    <w:rsid w:val="00BD038D"/>
    <w:rsid w:val="00BE0F30"/>
    <w:rsid w:val="00BF6928"/>
    <w:rsid w:val="00C02D37"/>
    <w:rsid w:val="00C24678"/>
    <w:rsid w:val="00C35DD3"/>
    <w:rsid w:val="00C36DCE"/>
    <w:rsid w:val="00C50EC1"/>
    <w:rsid w:val="00C55B50"/>
    <w:rsid w:val="00C63FBF"/>
    <w:rsid w:val="00C93EAC"/>
    <w:rsid w:val="00CC4469"/>
    <w:rsid w:val="00CD7972"/>
    <w:rsid w:val="00CE20D2"/>
    <w:rsid w:val="00CF2004"/>
    <w:rsid w:val="00D16CDB"/>
    <w:rsid w:val="00D33489"/>
    <w:rsid w:val="00D45338"/>
    <w:rsid w:val="00D52FD8"/>
    <w:rsid w:val="00D6455A"/>
    <w:rsid w:val="00D91BFB"/>
    <w:rsid w:val="00D9243F"/>
    <w:rsid w:val="00DB67E6"/>
    <w:rsid w:val="00DB6BF0"/>
    <w:rsid w:val="00E15C1E"/>
    <w:rsid w:val="00E25E83"/>
    <w:rsid w:val="00E70846"/>
    <w:rsid w:val="00EA0194"/>
    <w:rsid w:val="00EB2EFC"/>
    <w:rsid w:val="00EC0394"/>
    <w:rsid w:val="00ED03C9"/>
    <w:rsid w:val="00F43CE7"/>
    <w:rsid w:val="00F44B42"/>
    <w:rsid w:val="00F52DEB"/>
    <w:rsid w:val="00F55F63"/>
    <w:rsid w:val="00F73270"/>
    <w:rsid w:val="00F7530E"/>
    <w:rsid w:val="00F95686"/>
    <w:rsid w:val="00F97830"/>
    <w:rsid w:val="00FA1F6E"/>
    <w:rsid w:val="00FA68A6"/>
    <w:rsid w:val="00FB5C25"/>
    <w:rsid w:val="00FB75A4"/>
    <w:rsid w:val="00FC54A8"/>
    <w:rsid w:val="00FD3E73"/>
    <w:rsid w:val="00FF39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04"/>
  </w:style>
  <w:style w:type="paragraph" w:styleId="Heading1">
    <w:name w:val="heading 1"/>
    <w:basedOn w:val="Normal"/>
    <w:next w:val="Normal"/>
    <w:link w:val="Heading1Char"/>
    <w:uiPriority w:val="9"/>
    <w:qFormat/>
    <w:rsid w:val="00C35D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20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E20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E20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CE20D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023CE"/>
    <w:pPr>
      <w:spacing w:after="0" w:line="240" w:lineRule="auto"/>
    </w:pPr>
  </w:style>
  <w:style w:type="character" w:customStyle="1" w:styleId="NoSpacingChar">
    <w:name w:val="No Spacing Char"/>
    <w:basedOn w:val="DefaultParagraphFont"/>
    <w:link w:val="NoSpacing"/>
    <w:uiPriority w:val="1"/>
    <w:rsid w:val="001023CE"/>
  </w:style>
  <w:style w:type="paragraph" w:styleId="Header">
    <w:name w:val="header"/>
    <w:basedOn w:val="Normal"/>
    <w:link w:val="HeaderChar"/>
    <w:uiPriority w:val="99"/>
    <w:semiHidden/>
    <w:unhideWhenUsed/>
    <w:rsid w:val="001023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23CE"/>
  </w:style>
  <w:style w:type="paragraph" w:styleId="Title">
    <w:name w:val="Title"/>
    <w:basedOn w:val="Normal"/>
    <w:next w:val="Normal"/>
    <w:link w:val="TitleChar"/>
    <w:uiPriority w:val="10"/>
    <w:qFormat/>
    <w:rsid w:val="001023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23C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02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3CE"/>
    <w:rPr>
      <w:rFonts w:ascii="Tahoma" w:hAnsi="Tahoma" w:cs="Tahoma"/>
      <w:sz w:val="16"/>
      <w:szCs w:val="16"/>
    </w:rPr>
  </w:style>
  <w:style w:type="paragraph" w:styleId="ListParagraph">
    <w:name w:val="List Paragraph"/>
    <w:basedOn w:val="Normal"/>
    <w:uiPriority w:val="34"/>
    <w:qFormat/>
    <w:rsid w:val="001023CE"/>
    <w:pPr>
      <w:ind w:left="720"/>
      <w:contextualSpacing/>
    </w:pPr>
  </w:style>
  <w:style w:type="paragraph" w:styleId="Footer">
    <w:name w:val="footer"/>
    <w:basedOn w:val="Normal"/>
    <w:link w:val="FooterChar"/>
    <w:uiPriority w:val="99"/>
    <w:unhideWhenUsed/>
    <w:rsid w:val="00252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65C"/>
  </w:style>
  <w:style w:type="character" w:customStyle="1" w:styleId="Heading1Char">
    <w:name w:val="Heading 1 Char"/>
    <w:basedOn w:val="DefaultParagraphFont"/>
    <w:link w:val="Heading1"/>
    <w:uiPriority w:val="9"/>
    <w:rsid w:val="00C35DD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20D2"/>
    <w:pPr>
      <w:outlineLvl w:val="9"/>
    </w:pPr>
  </w:style>
  <w:style w:type="paragraph" w:styleId="TOC1">
    <w:name w:val="toc 1"/>
    <w:basedOn w:val="Normal"/>
    <w:next w:val="Normal"/>
    <w:autoRedefine/>
    <w:uiPriority w:val="39"/>
    <w:unhideWhenUsed/>
    <w:qFormat/>
    <w:rsid w:val="005E3017"/>
    <w:pPr>
      <w:spacing w:before="120" w:after="120" w:line="240" w:lineRule="auto"/>
      <w:jc w:val="both"/>
    </w:pPr>
    <w:rPr>
      <w:rFonts w:asciiTheme="majorHAnsi" w:hAnsiTheme="majorHAnsi"/>
      <w:noProof/>
      <w:color w:val="17365D" w:themeColor="text2" w:themeShade="BF"/>
      <w:sz w:val="24"/>
      <w:lang w:val="ro-RO"/>
    </w:rPr>
  </w:style>
  <w:style w:type="character" w:styleId="Hyperlink">
    <w:name w:val="Hyperlink"/>
    <w:basedOn w:val="DefaultParagraphFont"/>
    <w:uiPriority w:val="99"/>
    <w:unhideWhenUsed/>
    <w:rsid w:val="00CE20D2"/>
    <w:rPr>
      <w:color w:val="0000FF" w:themeColor="hyperlink"/>
      <w:u w:val="single"/>
    </w:rPr>
  </w:style>
  <w:style w:type="paragraph" w:styleId="Bibliography">
    <w:name w:val="Bibliography"/>
    <w:basedOn w:val="Normal"/>
    <w:next w:val="Normal"/>
    <w:uiPriority w:val="37"/>
    <w:unhideWhenUsed/>
    <w:rsid w:val="00CE20D2"/>
  </w:style>
  <w:style w:type="character" w:customStyle="1" w:styleId="Heading2Char">
    <w:name w:val="Heading 2 Char"/>
    <w:basedOn w:val="DefaultParagraphFont"/>
    <w:link w:val="Heading2"/>
    <w:uiPriority w:val="9"/>
    <w:rsid w:val="00CE20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E20D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E20D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E20D2"/>
    <w:rPr>
      <w:rFonts w:asciiTheme="majorHAnsi" w:eastAsiaTheme="majorEastAsia" w:hAnsiTheme="majorHAnsi" w:cstheme="majorBidi"/>
      <w:color w:val="243F60" w:themeColor="accent1" w:themeShade="7F"/>
    </w:rPr>
  </w:style>
  <w:style w:type="paragraph" w:styleId="TOC2">
    <w:name w:val="toc 2"/>
    <w:basedOn w:val="Normal"/>
    <w:next w:val="Normal"/>
    <w:autoRedefine/>
    <w:uiPriority w:val="39"/>
    <w:unhideWhenUsed/>
    <w:qFormat/>
    <w:rsid w:val="005E3017"/>
    <w:pPr>
      <w:tabs>
        <w:tab w:val="left" w:pos="567"/>
        <w:tab w:val="left" w:pos="851"/>
        <w:tab w:val="right" w:pos="9040"/>
        <w:tab w:val="right" w:pos="9072"/>
      </w:tabs>
      <w:spacing w:after="100"/>
      <w:ind w:left="221"/>
      <w:jc w:val="both"/>
    </w:pPr>
    <w:rPr>
      <w:rFonts w:asciiTheme="majorHAnsi" w:hAnsiTheme="majorHAnsi"/>
      <w:color w:val="17365D" w:themeColor="text2" w:themeShade="BF"/>
      <w:sz w:val="24"/>
    </w:rPr>
  </w:style>
  <w:style w:type="paragraph" w:styleId="TOC3">
    <w:name w:val="toc 3"/>
    <w:basedOn w:val="Normal"/>
    <w:next w:val="Normal"/>
    <w:autoRedefine/>
    <w:uiPriority w:val="39"/>
    <w:unhideWhenUsed/>
    <w:qFormat/>
    <w:rsid w:val="00CE20D2"/>
    <w:pPr>
      <w:tabs>
        <w:tab w:val="right" w:leader="dot" w:pos="9072"/>
      </w:tabs>
      <w:spacing w:after="100"/>
      <w:ind w:left="440"/>
      <w:jc w:val="both"/>
    </w:pPr>
    <w:rPr>
      <w:rFonts w:ascii="Times New Roman" w:hAnsi="Times New Roman"/>
      <w:sz w:val="24"/>
    </w:rPr>
  </w:style>
  <w:style w:type="table" w:styleId="TableGrid">
    <w:name w:val="Table Grid"/>
    <w:basedOn w:val="TableNormal"/>
    <w:uiPriority w:val="59"/>
    <w:rsid w:val="00CE20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6">
    <w:name w:val="t6"/>
    <w:basedOn w:val="DefaultParagraphFont"/>
    <w:rsid w:val="00CE20D2"/>
  </w:style>
  <w:style w:type="character" w:customStyle="1" w:styleId="t7">
    <w:name w:val="t7"/>
    <w:basedOn w:val="DefaultParagraphFont"/>
    <w:rsid w:val="00CE20D2"/>
  </w:style>
  <w:style w:type="paragraph" w:styleId="FootnoteText">
    <w:name w:val="footnote text"/>
    <w:aliases w:val=" Char Char Char Char"/>
    <w:basedOn w:val="Normal"/>
    <w:link w:val="FootnoteTextChar"/>
    <w:uiPriority w:val="99"/>
    <w:unhideWhenUsed/>
    <w:rsid w:val="00CE20D2"/>
    <w:pPr>
      <w:spacing w:after="0" w:line="240" w:lineRule="auto"/>
    </w:pPr>
    <w:rPr>
      <w:sz w:val="20"/>
      <w:szCs w:val="20"/>
    </w:rPr>
  </w:style>
  <w:style w:type="character" w:customStyle="1" w:styleId="FootnoteTextChar">
    <w:name w:val="Footnote Text Char"/>
    <w:aliases w:val=" Char Char Char Char Char"/>
    <w:basedOn w:val="DefaultParagraphFont"/>
    <w:link w:val="FootnoteText"/>
    <w:uiPriority w:val="99"/>
    <w:rsid w:val="00CE20D2"/>
    <w:rPr>
      <w:sz w:val="20"/>
      <w:szCs w:val="20"/>
    </w:rPr>
  </w:style>
  <w:style w:type="character" w:styleId="FootnoteReference">
    <w:name w:val="footnote reference"/>
    <w:basedOn w:val="DefaultParagraphFont"/>
    <w:uiPriority w:val="99"/>
    <w:semiHidden/>
    <w:unhideWhenUsed/>
    <w:rsid w:val="00CE20D2"/>
    <w:rPr>
      <w:vertAlign w:val="superscript"/>
    </w:rPr>
  </w:style>
  <w:style w:type="paragraph" w:customStyle="1" w:styleId="Default">
    <w:name w:val="Default"/>
    <w:rsid w:val="00CE20D2"/>
    <w:pPr>
      <w:autoSpaceDE w:val="0"/>
      <w:autoSpaceDN w:val="0"/>
      <w:adjustRightInd w:val="0"/>
      <w:spacing w:after="0" w:line="240" w:lineRule="auto"/>
    </w:pPr>
    <w:rPr>
      <w:rFonts w:ascii="Book Antiqua" w:eastAsiaTheme="minorHAnsi" w:hAnsi="Book Antiqua" w:cs="Book Antiqua"/>
      <w:color w:val="000000"/>
      <w:sz w:val="24"/>
      <w:szCs w:val="24"/>
    </w:rPr>
  </w:style>
  <w:style w:type="character" w:customStyle="1" w:styleId="BodyTextIndent2Char">
    <w:name w:val="Body Text Indent 2 Char"/>
    <w:basedOn w:val="DefaultParagraphFont"/>
    <w:link w:val="BodyTextIndent2"/>
    <w:uiPriority w:val="99"/>
    <w:semiHidden/>
    <w:rsid w:val="00CE20D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CE20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1">
    <w:name w:val="Body Text Indent 2 Char1"/>
    <w:basedOn w:val="DefaultParagraphFont"/>
    <w:link w:val="BodyTextIndent2"/>
    <w:uiPriority w:val="99"/>
    <w:semiHidden/>
    <w:rsid w:val="00CE20D2"/>
  </w:style>
  <w:style w:type="character" w:customStyle="1" w:styleId="BodyTextIndentChar">
    <w:name w:val="Body Text Indent Char"/>
    <w:basedOn w:val="DefaultParagraphFont"/>
    <w:link w:val="BodyTextIndent"/>
    <w:uiPriority w:val="99"/>
    <w:semiHidden/>
    <w:rsid w:val="00CE20D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E20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1">
    <w:name w:val="Body Text Indent Char1"/>
    <w:basedOn w:val="DefaultParagraphFont"/>
    <w:link w:val="BodyTextIndent"/>
    <w:uiPriority w:val="99"/>
    <w:semiHidden/>
    <w:rsid w:val="00CE20D2"/>
  </w:style>
  <w:style w:type="character" w:customStyle="1" w:styleId="BodyTextChar">
    <w:name w:val="Body Text Char"/>
    <w:basedOn w:val="DefaultParagraphFont"/>
    <w:link w:val="BodyText"/>
    <w:uiPriority w:val="99"/>
    <w:semiHidden/>
    <w:rsid w:val="00CE20D2"/>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E20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semiHidden/>
    <w:rsid w:val="00CE20D2"/>
  </w:style>
  <w:style w:type="character" w:customStyle="1" w:styleId="apple-converted-space">
    <w:name w:val="apple-converted-space"/>
    <w:basedOn w:val="DefaultParagraphFont"/>
    <w:rsid w:val="00CE20D2"/>
  </w:style>
  <w:style w:type="paragraph" w:customStyle="1" w:styleId="xl28">
    <w:name w:val="xl28"/>
    <w:basedOn w:val="Normal"/>
    <w:rsid w:val="00CE20D2"/>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uiPriority w:val="35"/>
    <w:qFormat/>
    <w:rsid w:val="00CE20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CE20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
    <w:name w:val="xl25"/>
    <w:basedOn w:val="Normal"/>
    <w:rsid w:val="00CE20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ineffectstring">
    <w:name w:val="js-ineffectstring"/>
    <w:basedOn w:val="DefaultParagraphFont"/>
    <w:rsid w:val="00CE20D2"/>
  </w:style>
  <w:style w:type="character" w:customStyle="1" w:styleId="js-ineffectdate">
    <w:name w:val="js-ineffectdate"/>
    <w:basedOn w:val="DefaultParagraphFont"/>
    <w:rsid w:val="00CE20D2"/>
  </w:style>
  <w:style w:type="paragraph" w:customStyle="1" w:styleId="alignmentl">
    <w:name w:val="alignment_l"/>
    <w:basedOn w:val="Normal"/>
    <w:rsid w:val="00CE20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rtttl">
    <w:name w:val="s_art_ttl"/>
    <w:basedOn w:val="DefaultParagraphFont"/>
    <w:rsid w:val="00CE20D2"/>
  </w:style>
  <w:style w:type="character" w:customStyle="1" w:styleId="spar">
    <w:name w:val="s_par"/>
    <w:basedOn w:val="DefaultParagraphFont"/>
    <w:rsid w:val="00CE20D2"/>
  </w:style>
  <w:style w:type="character" w:customStyle="1" w:styleId="slitbdy">
    <w:name w:val="s_lit_bdy"/>
    <w:basedOn w:val="DefaultParagraphFont"/>
    <w:rsid w:val="00CE20D2"/>
  </w:style>
  <w:style w:type="character" w:styleId="Emphasis">
    <w:name w:val="Emphasis"/>
    <w:basedOn w:val="DefaultParagraphFont"/>
    <w:uiPriority w:val="20"/>
    <w:qFormat/>
    <w:rsid w:val="00CE20D2"/>
    <w:rPr>
      <w:i/>
      <w:iCs/>
    </w:rPr>
  </w:style>
  <w:style w:type="character" w:styleId="Strong">
    <w:name w:val="Strong"/>
    <w:basedOn w:val="DefaultParagraphFont"/>
    <w:uiPriority w:val="22"/>
    <w:qFormat/>
    <w:rsid w:val="00CE20D2"/>
    <w:rPr>
      <w:b/>
      <w:bCs/>
    </w:rPr>
  </w:style>
  <w:style w:type="paragraph" w:styleId="NormalWeb">
    <w:name w:val="Normal (Web)"/>
    <w:basedOn w:val="Normal"/>
    <w:uiPriority w:val="99"/>
    <w:unhideWhenUsed/>
    <w:rsid w:val="00CE20D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E20D2"/>
    <w:rPr>
      <w:color w:val="808080"/>
    </w:rPr>
  </w:style>
  <w:style w:type="paragraph" w:customStyle="1" w:styleId="DecimalAligned">
    <w:name w:val="Decimal Aligned"/>
    <w:basedOn w:val="Normal"/>
    <w:uiPriority w:val="40"/>
    <w:qFormat/>
    <w:rsid w:val="00CE20D2"/>
    <w:pPr>
      <w:tabs>
        <w:tab w:val="decimal" w:pos="360"/>
      </w:tabs>
    </w:pPr>
  </w:style>
  <w:style w:type="character" w:styleId="SubtleEmphasis">
    <w:name w:val="Subtle Emphasis"/>
    <w:basedOn w:val="DefaultParagraphFont"/>
    <w:uiPriority w:val="19"/>
    <w:qFormat/>
    <w:rsid w:val="00CE20D2"/>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CE20D2"/>
    <w:pPr>
      <w:spacing w:after="0" w:line="240" w:lineRule="auto"/>
    </w:pPr>
    <w:rPr>
      <w:color w:val="365F91" w:themeColor="accent1" w:themeShade="BF"/>
      <w:lang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n9">
    <w:name w:val="fn_9"/>
    <w:basedOn w:val="DefaultParagraphFont"/>
    <w:rsid w:val="00CE20D2"/>
  </w:style>
  <w:style w:type="paragraph" w:customStyle="1" w:styleId="doc-ti">
    <w:name w:val="doc-ti"/>
    <w:basedOn w:val="Normal"/>
    <w:rsid w:val="00CE20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
    <w:basedOn w:val="Normal"/>
    <w:rsid w:val="00CE20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4">
    <w:name w:val="cm4"/>
    <w:basedOn w:val="Normal"/>
    <w:rsid w:val="00CE20D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E20D2"/>
    <w:rPr>
      <w:color w:val="800080" w:themeColor="followedHyperlink"/>
      <w:u w:val="single"/>
    </w:rPr>
  </w:style>
  <w:style w:type="paragraph" w:styleId="TableofFigures">
    <w:name w:val="table of figures"/>
    <w:basedOn w:val="Normal"/>
    <w:next w:val="Normal"/>
    <w:uiPriority w:val="99"/>
    <w:unhideWhenUsed/>
    <w:rsid w:val="00CE20D2"/>
    <w:pPr>
      <w:spacing w:after="0"/>
    </w:pPr>
    <w:rPr>
      <w:rFonts w:eastAsiaTheme="minorHAnsi"/>
    </w:rPr>
  </w:style>
  <w:style w:type="character" w:customStyle="1" w:styleId="longtext1">
    <w:name w:val="long_text1"/>
    <w:basedOn w:val="DefaultParagraphFont"/>
    <w:rsid w:val="00CE20D2"/>
    <w:rPr>
      <w:sz w:val="20"/>
      <w:szCs w:val="20"/>
    </w:rPr>
  </w:style>
  <w:style w:type="character" w:customStyle="1" w:styleId="mw-headline">
    <w:name w:val="mw-headline"/>
    <w:basedOn w:val="DefaultParagraphFont"/>
    <w:rsid w:val="00CE20D2"/>
  </w:style>
  <w:style w:type="paragraph" w:customStyle="1" w:styleId="scris12">
    <w:name w:val="scris_12"/>
    <w:basedOn w:val="Normal"/>
    <w:rsid w:val="00CE20D2"/>
    <w:pPr>
      <w:spacing w:before="100" w:beforeAutospacing="1" w:after="100" w:afterAutospacing="1" w:line="240" w:lineRule="auto"/>
    </w:pPr>
    <w:rPr>
      <w:rFonts w:ascii="Trebuchet MS" w:eastAsia="Times New Roman" w:hAnsi="Trebuchet MS" w:cs="Times New Roman"/>
      <w:color w:val="000000"/>
      <w:sz w:val="18"/>
      <w:szCs w:val="18"/>
    </w:rPr>
  </w:style>
  <w:style w:type="paragraph" w:customStyle="1" w:styleId="rtejustify">
    <w:name w:val="rtejustify"/>
    <w:basedOn w:val="Normal"/>
    <w:rsid w:val="00CE20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Text">
    <w:name w:val="Default Text"/>
    <w:basedOn w:val="Normal"/>
    <w:rsid w:val="00CE20D2"/>
    <w:pPr>
      <w:autoSpaceDE w:val="0"/>
      <w:autoSpaceDN w:val="0"/>
      <w:adjustRightInd w:val="0"/>
      <w:spacing w:after="0" w:line="240" w:lineRule="auto"/>
    </w:pPr>
    <w:rPr>
      <w:rFonts w:ascii="Times New Roman" w:eastAsia="Times New Roman" w:hAnsi="Times New Roman" w:cs="Times New Roman"/>
      <w:sz w:val="24"/>
      <w:szCs w:val="24"/>
      <w:lang w:eastAsia="ro-RO"/>
    </w:rPr>
  </w:style>
  <w:style w:type="character" w:styleId="IntenseEmphasis">
    <w:name w:val="Intense Emphasis"/>
    <w:basedOn w:val="DefaultParagraphFont"/>
    <w:uiPriority w:val="21"/>
    <w:qFormat/>
    <w:rsid w:val="00CE20D2"/>
    <w:rPr>
      <w:b/>
      <w:bCs/>
      <w:i/>
      <w:iCs/>
      <w:color w:val="4F81BD" w:themeColor="accent1"/>
    </w:rPr>
  </w:style>
  <w:style w:type="paragraph" w:customStyle="1" w:styleId="p1a">
    <w:name w:val="p1a"/>
    <w:basedOn w:val="Normal"/>
    <w:next w:val="Normal"/>
    <w:link w:val="p1aZchn"/>
    <w:rsid w:val="00CE20D2"/>
    <w:pPr>
      <w:spacing w:after="0" w:line="240" w:lineRule="auto"/>
      <w:jc w:val="both"/>
    </w:pPr>
    <w:rPr>
      <w:rFonts w:ascii="Times" w:eastAsia="Times New Roman" w:hAnsi="Times" w:cs="Times New Roman"/>
      <w:sz w:val="20"/>
      <w:szCs w:val="20"/>
      <w:lang w:eastAsia="de-DE"/>
    </w:rPr>
  </w:style>
  <w:style w:type="character" w:customStyle="1" w:styleId="p1aZchn">
    <w:name w:val="p1a Zchn"/>
    <w:basedOn w:val="DefaultParagraphFont"/>
    <w:link w:val="p1a"/>
    <w:rsid w:val="00CE20D2"/>
    <w:rPr>
      <w:rFonts w:ascii="Times" w:eastAsia="Times New Roman" w:hAnsi="Times" w:cs="Times New Roman"/>
      <w:sz w:val="20"/>
      <w:szCs w:val="20"/>
      <w:lang w:eastAsia="de-DE"/>
    </w:rPr>
  </w:style>
  <w:style w:type="paragraph" w:customStyle="1" w:styleId="headline">
    <w:name w:val="headline"/>
    <w:basedOn w:val="Normal"/>
    <w:rsid w:val="00CE20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E20D2"/>
  </w:style>
  <w:style w:type="character" w:customStyle="1" w:styleId="hps">
    <w:name w:val="hps"/>
    <w:basedOn w:val="DefaultParagraphFont"/>
    <w:rsid w:val="00CE20D2"/>
  </w:style>
  <w:style w:type="paragraph" w:styleId="TOC4">
    <w:name w:val="toc 4"/>
    <w:basedOn w:val="Normal"/>
    <w:next w:val="Normal"/>
    <w:autoRedefine/>
    <w:uiPriority w:val="39"/>
    <w:unhideWhenUsed/>
    <w:qFormat/>
    <w:rsid w:val="00CE20D2"/>
    <w:pPr>
      <w:spacing w:after="100"/>
      <w:ind w:left="660"/>
      <w:jc w:val="both"/>
    </w:pPr>
    <w:rPr>
      <w:rFonts w:ascii="Times New Roman" w:hAnsi="Times New Roman"/>
    </w:rPr>
  </w:style>
  <w:style w:type="paragraph" w:styleId="TOC5">
    <w:name w:val="toc 5"/>
    <w:basedOn w:val="Normal"/>
    <w:next w:val="Normal"/>
    <w:autoRedefine/>
    <w:uiPriority w:val="39"/>
    <w:unhideWhenUsed/>
    <w:rsid w:val="00CE20D2"/>
    <w:pPr>
      <w:spacing w:after="100"/>
      <w:ind w:left="880"/>
    </w:pPr>
  </w:style>
  <w:style w:type="paragraph" w:styleId="TOC6">
    <w:name w:val="toc 6"/>
    <w:basedOn w:val="Normal"/>
    <w:next w:val="Normal"/>
    <w:autoRedefine/>
    <w:uiPriority w:val="39"/>
    <w:unhideWhenUsed/>
    <w:rsid w:val="00CE20D2"/>
    <w:pPr>
      <w:spacing w:after="100"/>
      <w:ind w:left="1100"/>
    </w:pPr>
  </w:style>
  <w:style w:type="paragraph" w:styleId="TOC7">
    <w:name w:val="toc 7"/>
    <w:basedOn w:val="Normal"/>
    <w:next w:val="Normal"/>
    <w:autoRedefine/>
    <w:uiPriority w:val="39"/>
    <w:unhideWhenUsed/>
    <w:rsid w:val="00CE20D2"/>
    <w:pPr>
      <w:spacing w:after="100"/>
      <w:ind w:left="1320"/>
    </w:pPr>
  </w:style>
  <w:style w:type="paragraph" w:styleId="TOC8">
    <w:name w:val="toc 8"/>
    <w:basedOn w:val="Normal"/>
    <w:next w:val="Normal"/>
    <w:autoRedefine/>
    <w:uiPriority w:val="39"/>
    <w:unhideWhenUsed/>
    <w:rsid w:val="00CE20D2"/>
    <w:pPr>
      <w:spacing w:after="100"/>
      <w:ind w:left="1540"/>
    </w:pPr>
  </w:style>
  <w:style w:type="paragraph" w:styleId="TOC9">
    <w:name w:val="toc 9"/>
    <w:basedOn w:val="Normal"/>
    <w:next w:val="Normal"/>
    <w:autoRedefine/>
    <w:uiPriority w:val="39"/>
    <w:unhideWhenUsed/>
    <w:rsid w:val="00CE20D2"/>
    <w:pPr>
      <w:spacing w:after="100"/>
      <w:ind w:left="1760"/>
    </w:pPr>
  </w:style>
  <w:style w:type="character" w:styleId="LineNumber">
    <w:name w:val="line number"/>
    <w:basedOn w:val="DefaultParagraphFont"/>
    <w:uiPriority w:val="99"/>
    <w:semiHidden/>
    <w:unhideWhenUsed/>
    <w:rsid w:val="00CE20D2"/>
  </w:style>
  <w:style w:type="table" w:styleId="MediumGrid1-Accent3">
    <w:name w:val="Medium Grid 1 Accent 3"/>
    <w:basedOn w:val="TableNormal"/>
    <w:uiPriority w:val="67"/>
    <w:rsid w:val="00CE20D2"/>
    <w:pPr>
      <w:spacing w:after="0" w:line="240" w:lineRule="auto"/>
    </w:pPr>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List2-Accent6">
    <w:name w:val="Medium List 2 Accent 6"/>
    <w:basedOn w:val="TableNormal"/>
    <w:uiPriority w:val="66"/>
    <w:rsid w:val="00CE20D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HTMLPreformatted">
    <w:name w:val="HTML Preformatted"/>
    <w:basedOn w:val="Normal"/>
    <w:link w:val="HTMLPreformattedChar"/>
    <w:uiPriority w:val="99"/>
    <w:semiHidden/>
    <w:unhideWhenUsed/>
    <w:rsid w:val="00C63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63FB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3770719">
      <w:bodyDiv w:val="1"/>
      <w:marLeft w:val="0"/>
      <w:marRight w:val="0"/>
      <w:marTop w:val="0"/>
      <w:marBottom w:val="0"/>
      <w:divBdr>
        <w:top w:val="none" w:sz="0" w:space="0" w:color="auto"/>
        <w:left w:val="none" w:sz="0" w:space="0" w:color="auto"/>
        <w:bottom w:val="none" w:sz="0" w:space="0" w:color="auto"/>
        <w:right w:val="none" w:sz="0" w:space="0" w:color="auto"/>
      </w:divBdr>
    </w:div>
    <w:div w:id="73359970">
      <w:bodyDiv w:val="1"/>
      <w:marLeft w:val="0"/>
      <w:marRight w:val="0"/>
      <w:marTop w:val="0"/>
      <w:marBottom w:val="0"/>
      <w:divBdr>
        <w:top w:val="none" w:sz="0" w:space="0" w:color="auto"/>
        <w:left w:val="none" w:sz="0" w:space="0" w:color="auto"/>
        <w:bottom w:val="none" w:sz="0" w:space="0" w:color="auto"/>
        <w:right w:val="none" w:sz="0" w:space="0" w:color="auto"/>
      </w:divBdr>
    </w:div>
    <w:div w:id="76829312">
      <w:bodyDiv w:val="1"/>
      <w:marLeft w:val="0"/>
      <w:marRight w:val="0"/>
      <w:marTop w:val="0"/>
      <w:marBottom w:val="0"/>
      <w:divBdr>
        <w:top w:val="none" w:sz="0" w:space="0" w:color="auto"/>
        <w:left w:val="none" w:sz="0" w:space="0" w:color="auto"/>
        <w:bottom w:val="none" w:sz="0" w:space="0" w:color="auto"/>
        <w:right w:val="none" w:sz="0" w:space="0" w:color="auto"/>
      </w:divBdr>
    </w:div>
    <w:div w:id="129906397">
      <w:bodyDiv w:val="1"/>
      <w:marLeft w:val="0"/>
      <w:marRight w:val="0"/>
      <w:marTop w:val="0"/>
      <w:marBottom w:val="0"/>
      <w:divBdr>
        <w:top w:val="none" w:sz="0" w:space="0" w:color="auto"/>
        <w:left w:val="none" w:sz="0" w:space="0" w:color="auto"/>
        <w:bottom w:val="none" w:sz="0" w:space="0" w:color="auto"/>
        <w:right w:val="none" w:sz="0" w:space="0" w:color="auto"/>
      </w:divBdr>
    </w:div>
    <w:div w:id="260770506">
      <w:bodyDiv w:val="1"/>
      <w:marLeft w:val="0"/>
      <w:marRight w:val="0"/>
      <w:marTop w:val="0"/>
      <w:marBottom w:val="0"/>
      <w:divBdr>
        <w:top w:val="none" w:sz="0" w:space="0" w:color="auto"/>
        <w:left w:val="none" w:sz="0" w:space="0" w:color="auto"/>
        <w:bottom w:val="none" w:sz="0" w:space="0" w:color="auto"/>
        <w:right w:val="none" w:sz="0" w:space="0" w:color="auto"/>
      </w:divBdr>
    </w:div>
    <w:div w:id="282930624">
      <w:bodyDiv w:val="1"/>
      <w:marLeft w:val="0"/>
      <w:marRight w:val="0"/>
      <w:marTop w:val="0"/>
      <w:marBottom w:val="0"/>
      <w:divBdr>
        <w:top w:val="none" w:sz="0" w:space="0" w:color="auto"/>
        <w:left w:val="none" w:sz="0" w:space="0" w:color="auto"/>
        <w:bottom w:val="none" w:sz="0" w:space="0" w:color="auto"/>
        <w:right w:val="none" w:sz="0" w:space="0" w:color="auto"/>
      </w:divBdr>
    </w:div>
    <w:div w:id="326058808">
      <w:bodyDiv w:val="1"/>
      <w:marLeft w:val="0"/>
      <w:marRight w:val="0"/>
      <w:marTop w:val="0"/>
      <w:marBottom w:val="0"/>
      <w:divBdr>
        <w:top w:val="none" w:sz="0" w:space="0" w:color="auto"/>
        <w:left w:val="none" w:sz="0" w:space="0" w:color="auto"/>
        <w:bottom w:val="none" w:sz="0" w:space="0" w:color="auto"/>
        <w:right w:val="none" w:sz="0" w:space="0" w:color="auto"/>
      </w:divBdr>
    </w:div>
    <w:div w:id="375813826">
      <w:bodyDiv w:val="1"/>
      <w:marLeft w:val="0"/>
      <w:marRight w:val="0"/>
      <w:marTop w:val="0"/>
      <w:marBottom w:val="0"/>
      <w:divBdr>
        <w:top w:val="none" w:sz="0" w:space="0" w:color="auto"/>
        <w:left w:val="none" w:sz="0" w:space="0" w:color="auto"/>
        <w:bottom w:val="none" w:sz="0" w:space="0" w:color="auto"/>
        <w:right w:val="none" w:sz="0" w:space="0" w:color="auto"/>
      </w:divBdr>
    </w:div>
    <w:div w:id="406149613">
      <w:bodyDiv w:val="1"/>
      <w:marLeft w:val="0"/>
      <w:marRight w:val="0"/>
      <w:marTop w:val="0"/>
      <w:marBottom w:val="0"/>
      <w:divBdr>
        <w:top w:val="none" w:sz="0" w:space="0" w:color="auto"/>
        <w:left w:val="none" w:sz="0" w:space="0" w:color="auto"/>
        <w:bottom w:val="none" w:sz="0" w:space="0" w:color="auto"/>
        <w:right w:val="none" w:sz="0" w:space="0" w:color="auto"/>
      </w:divBdr>
    </w:div>
    <w:div w:id="415438549">
      <w:bodyDiv w:val="1"/>
      <w:marLeft w:val="0"/>
      <w:marRight w:val="0"/>
      <w:marTop w:val="0"/>
      <w:marBottom w:val="0"/>
      <w:divBdr>
        <w:top w:val="none" w:sz="0" w:space="0" w:color="auto"/>
        <w:left w:val="none" w:sz="0" w:space="0" w:color="auto"/>
        <w:bottom w:val="none" w:sz="0" w:space="0" w:color="auto"/>
        <w:right w:val="none" w:sz="0" w:space="0" w:color="auto"/>
      </w:divBdr>
    </w:div>
    <w:div w:id="466289152">
      <w:bodyDiv w:val="1"/>
      <w:marLeft w:val="0"/>
      <w:marRight w:val="0"/>
      <w:marTop w:val="0"/>
      <w:marBottom w:val="0"/>
      <w:divBdr>
        <w:top w:val="none" w:sz="0" w:space="0" w:color="auto"/>
        <w:left w:val="none" w:sz="0" w:space="0" w:color="auto"/>
        <w:bottom w:val="none" w:sz="0" w:space="0" w:color="auto"/>
        <w:right w:val="none" w:sz="0" w:space="0" w:color="auto"/>
      </w:divBdr>
    </w:div>
    <w:div w:id="474103191">
      <w:bodyDiv w:val="1"/>
      <w:marLeft w:val="0"/>
      <w:marRight w:val="0"/>
      <w:marTop w:val="0"/>
      <w:marBottom w:val="0"/>
      <w:divBdr>
        <w:top w:val="none" w:sz="0" w:space="0" w:color="auto"/>
        <w:left w:val="none" w:sz="0" w:space="0" w:color="auto"/>
        <w:bottom w:val="none" w:sz="0" w:space="0" w:color="auto"/>
        <w:right w:val="none" w:sz="0" w:space="0" w:color="auto"/>
      </w:divBdr>
    </w:div>
    <w:div w:id="499471498">
      <w:bodyDiv w:val="1"/>
      <w:marLeft w:val="0"/>
      <w:marRight w:val="0"/>
      <w:marTop w:val="0"/>
      <w:marBottom w:val="0"/>
      <w:divBdr>
        <w:top w:val="none" w:sz="0" w:space="0" w:color="auto"/>
        <w:left w:val="none" w:sz="0" w:space="0" w:color="auto"/>
        <w:bottom w:val="none" w:sz="0" w:space="0" w:color="auto"/>
        <w:right w:val="none" w:sz="0" w:space="0" w:color="auto"/>
      </w:divBdr>
    </w:div>
    <w:div w:id="500315991">
      <w:bodyDiv w:val="1"/>
      <w:marLeft w:val="0"/>
      <w:marRight w:val="0"/>
      <w:marTop w:val="0"/>
      <w:marBottom w:val="0"/>
      <w:divBdr>
        <w:top w:val="none" w:sz="0" w:space="0" w:color="auto"/>
        <w:left w:val="none" w:sz="0" w:space="0" w:color="auto"/>
        <w:bottom w:val="none" w:sz="0" w:space="0" w:color="auto"/>
        <w:right w:val="none" w:sz="0" w:space="0" w:color="auto"/>
      </w:divBdr>
    </w:div>
    <w:div w:id="501942484">
      <w:bodyDiv w:val="1"/>
      <w:marLeft w:val="0"/>
      <w:marRight w:val="0"/>
      <w:marTop w:val="0"/>
      <w:marBottom w:val="0"/>
      <w:divBdr>
        <w:top w:val="none" w:sz="0" w:space="0" w:color="auto"/>
        <w:left w:val="none" w:sz="0" w:space="0" w:color="auto"/>
        <w:bottom w:val="none" w:sz="0" w:space="0" w:color="auto"/>
        <w:right w:val="none" w:sz="0" w:space="0" w:color="auto"/>
      </w:divBdr>
    </w:div>
    <w:div w:id="529684247">
      <w:bodyDiv w:val="1"/>
      <w:marLeft w:val="0"/>
      <w:marRight w:val="0"/>
      <w:marTop w:val="0"/>
      <w:marBottom w:val="0"/>
      <w:divBdr>
        <w:top w:val="none" w:sz="0" w:space="0" w:color="auto"/>
        <w:left w:val="none" w:sz="0" w:space="0" w:color="auto"/>
        <w:bottom w:val="none" w:sz="0" w:space="0" w:color="auto"/>
        <w:right w:val="none" w:sz="0" w:space="0" w:color="auto"/>
      </w:divBdr>
    </w:div>
    <w:div w:id="541402828">
      <w:bodyDiv w:val="1"/>
      <w:marLeft w:val="0"/>
      <w:marRight w:val="0"/>
      <w:marTop w:val="0"/>
      <w:marBottom w:val="0"/>
      <w:divBdr>
        <w:top w:val="none" w:sz="0" w:space="0" w:color="auto"/>
        <w:left w:val="none" w:sz="0" w:space="0" w:color="auto"/>
        <w:bottom w:val="none" w:sz="0" w:space="0" w:color="auto"/>
        <w:right w:val="none" w:sz="0" w:space="0" w:color="auto"/>
      </w:divBdr>
    </w:div>
    <w:div w:id="569930353">
      <w:bodyDiv w:val="1"/>
      <w:marLeft w:val="0"/>
      <w:marRight w:val="0"/>
      <w:marTop w:val="0"/>
      <w:marBottom w:val="0"/>
      <w:divBdr>
        <w:top w:val="none" w:sz="0" w:space="0" w:color="auto"/>
        <w:left w:val="none" w:sz="0" w:space="0" w:color="auto"/>
        <w:bottom w:val="none" w:sz="0" w:space="0" w:color="auto"/>
        <w:right w:val="none" w:sz="0" w:space="0" w:color="auto"/>
      </w:divBdr>
    </w:div>
    <w:div w:id="590164219">
      <w:bodyDiv w:val="1"/>
      <w:marLeft w:val="0"/>
      <w:marRight w:val="0"/>
      <w:marTop w:val="0"/>
      <w:marBottom w:val="0"/>
      <w:divBdr>
        <w:top w:val="none" w:sz="0" w:space="0" w:color="auto"/>
        <w:left w:val="none" w:sz="0" w:space="0" w:color="auto"/>
        <w:bottom w:val="none" w:sz="0" w:space="0" w:color="auto"/>
        <w:right w:val="none" w:sz="0" w:space="0" w:color="auto"/>
      </w:divBdr>
    </w:div>
    <w:div w:id="591596708">
      <w:bodyDiv w:val="1"/>
      <w:marLeft w:val="0"/>
      <w:marRight w:val="0"/>
      <w:marTop w:val="0"/>
      <w:marBottom w:val="0"/>
      <w:divBdr>
        <w:top w:val="none" w:sz="0" w:space="0" w:color="auto"/>
        <w:left w:val="none" w:sz="0" w:space="0" w:color="auto"/>
        <w:bottom w:val="none" w:sz="0" w:space="0" w:color="auto"/>
        <w:right w:val="none" w:sz="0" w:space="0" w:color="auto"/>
      </w:divBdr>
    </w:div>
    <w:div w:id="714428598">
      <w:bodyDiv w:val="1"/>
      <w:marLeft w:val="0"/>
      <w:marRight w:val="0"/>
      <w:marTop w:val="0"/>
      <w:marBottom w:val="0"/>
      <w:divBdr>
        <w:top w:val="none" w:sz="0" w:space="0" w:color="auto"/>
        <w:left w:val="none" w:sz="0" w:space="0" w:color="auto"/>
        <w:bottom w:val="none" w:sz="0" w:space="0" w:color="auto"/>
        <w:right w:val="none" w:sz="0" w:space="0" w:color="auto"/>
      </w:divBdr>
    </w:div>
    <w:div w:id="754132166">
      <w:bodyDiv w:val="1"/>
      <w:marLeft w:val="0"/>
      <w:marRight w:val="0"/>
      <w:marTop w:val="0"/>
      <w:marBottom w:val="0"/>
      <w:divBdr>
        <w:top w:val="none" w:sz="0" w:space="0" w:color="auto"/>
        <w:left w:val="none" w:sz="0" w:space="0" w:color="auto"/>
        <w:bottom w:val="none" w:sz="0" w:space="0" w:color="auto"/>
        <w:right w:val="none" w:sz="0" w:space="0" w:color="auto"/>
      </w:divBdr>
    </w:div>
    <w:div w:id="770903517">
      <w:bodyDiv w:val="1"/>
      <w:marLeft w:val="0"/>
      <w:marRight w:val="0"/>
      <w:marTop w:val="0"/>
      <w:marBottom w:val="0"/>
      <w:divBdr>
        <w:top w:val="none" w:sz="0" w:space="0" w:color="auto"/>
        <w:left w:val="none" w:sz="0" w:space="0" w:color="auto"/>
        <w:bottom w:val="none" w:sz="0" w:space="0" w:color="auto"/>
        <w:right w:val="none" w:sz="0" w:space="0" w:color="auto"/>
      </w:divBdr>
    </w:div>
    <w:div w:id="778181616">
      <w:bodyDiv w:val="1"/>
      <w:marLeft w:val="0"/>
      <w:marRight w:val="0"/>
      <w:marTop w:val="0"/>
      <w:marBottom w:val="0"/>
      <w:divBdr>
        <w:top w:val="none" w:sz="0" w:space="0" w:color="auto"/>
        <w:left w:val="none" w:sz="0" w:space="0" w:color="auto"/>
        <w:bottom w:val="none" w:sz="0" w:space="0" w:color="auto"/>
        <w:right w:val="none" w:sz="0" w:space="0" w:color="auto"/>
      </w:divBdr>
    </w:div>
    <w:div w:id="838619088">
      <w:bodyDiv w:val="1"/>
      <w:marLeft w:val="0"/>
      <w:marRight w:val="0"/>
      <w:marTop w:val="0"/>
      <w:marBottom w:val="0"/>
      <w:divBdr>
        <w:top w:val="none" w:sz="0" w:space="0" w:color="auto"/>
        <w:left w:val="none" w:sz="0" w:space="0" w:color="auto"/>
        <w:bottom w:val="none" w:sz="0" w:space="0" w:color="auto"/>
        <w:right w:val="none" w:sz="0" w:space="0" w:color="auto"/>
      </w:divBdr>
    </w:div>
    <w:div w:id="843978789">
      <w:bodyDiv w:val="1"/>
      <w:marLeft w:val="0"/>
      <w:marRight w:val="0"/>
      <w:marTop w:val="0"/>
      <w:marBottom w:val="0"/>
      <w:divBdr>
        <w:top w:val="none" w:sz="0" w:space="0" w:color="auto"/>
        <w:left w:val="none" w:sz="0" w:space="0" w:color="auto"/>
        <w:bottom w:val="none" w:sz="0" w:space="0" w:color="auto"/>
        <w:right w:val="none" w:sz="0" w:space="0" w:color="auto"/>
      </w:divBdr>
    </w:div>
    <w:div w:id="874000514">
      <w:bodyDiv w:val="1"/>
      <w:marLeft w:val="0"/>
      <w:marRight w:val="0"/>
      <w:marTop w:val="0"/>
      <w:marBottom w:val="0"/>
      <w:divBdr>
        <w:top w:val="none" w:sz="0" w:space="0" w:color="auto"/>
        <w:left w:val="none" w:sz="0" w:space="0" w:color="auto"/>
        <w:bottom w:val="none" w:sz="0" w:space="0" w:color="auto"/>
        <w:right w:val="none" w:sz="0" w:space="0" w:color="auto"/>
      </w:divBdr>
    </w:div>
    <w:div w:id="875049007">
      <w:bodyDiv w:val="1"/>
      <w:marLeft w:val="0"/>
      <w:marRight w:val="0"/>
      <w:marTop w:val="0"/>
      <w:marBottom w:val="0"/>
      <w:divBdr>
        <w:top w:val="none" w:sz="0" w:space="0" w:color="auto"/>
        <w:left w:val="none" w:sz="0" w:space="0" w:color="auto"/>
        <w:bottom w:val="none" w:sz="0" w:space="0" w:color="auto"/>
        <w:right w:val="none" w:sz="0" w:space="0" w:color="auto"/>
      </w:divBdr>
    </w:div>
    <w:div w:id="908997487">
      <w:bodyDiv w:val="1"/>
      <w:marLeft w:val="0"/>
      <w:marRight w:val="0"/>
      <w:marTop w:val="0"/>
      <w:marBottom w:val="0"/>
      <w:divBdr>
        <w:top w:val="none" w:sz="0" w:space="0" w:color="auto"/>
        <w:left w:val="none" w:sz="0" w:space="0" w:color="auto"/>
        <w:bottom w:val="none" w:sz="0" w:space="0" w:color="auto"/>
        <w:right w:val="none" w:sz="0" w:space="0" w:color="auto"/>
      </w:divBdr>
    </w:div>
    <w:div w:id="1009868232">
      <w:bodyDiv w:val="1"/>
      <w:marLeft w:val="0"/>
      <w:marRight w:val="0"/>
      <w:marTop w:val="0"/>
      <w:marBottom w:val="0"/>
      <w:divBdr>
        <w:top w:val="none" w:sz="0" w:space="0" w:color="auto"/>
        <w:left w:val="none" w:sz="0" w:space="0" w:color="auto"/>
        <w:bottom w:val="none" w:sz="0" w:space="0" w:color="auto"/>
        <w:right w:val="none" w:sz="0" w:space="0" w:color="auto"/>
      </w:divBdr>
    </w:div>
    <w:div w:id="1022173897">
      <w:bodyDiv w:val="1"/>
      <w:marLeft w:val="0"/>
      <w:marRight w:val="0"/>
      <w:marTop w:val="0"/>
      <w:marBottom w:val="0"/>
      <w:divBdr>
        <w:top w:val="none" w:sz="0" w:space="0" w:color="auto"/>
        <w:left w:val="none" w:sz="0" w:space="0" w:color="auto"/>
        <w:bottom w:val="none" w:sz="0" w:space="0" w:color="auto"/>
        <w:right w:val="none" w:sz="0" w:space="0" w:color="auto"/>
      </w:divBdr>
    </w:div>
    <w:div w:id="1044872170">
      <w:bodyDiv w:val="1"/>
      <w:marLeft w:val="0"/>
      <w:marRight w:val="0"/>
      <w:marTop w:val="0"/>
      <w:marBottom w:val="0"/>
      <w:divBdr>
        <w:top w:val="none" w:sz="0" w:space="0" w:color="auto"/>
        <w:left w:val="none" w:sz="0" w:space="0" w:color="auto"/>
        <w:bottom w:val="none" w:sz="0" w:space="0" w:color="auto"/>
        <w:right w:val="none" w:sz="0" w:space="0" w:color="auto"/>
      </w:divBdr>
    </w:div>
    <w:div w:id="1061905298">
      <w:bodyDiv w:val="1"/>
      <w:marLeft w:val="0"/>
      <w:marRight w:val="0"/>
      <w:marTop w:val="0"/>
      <w:marBottom w:val="0"/>
      <w:divBdr>
        <w:top w:val="none" w:sz="0" w:space="0" w:color="auto"/>
        <w:left w:val="none" w:sz="0" w:space="0" w:color="auto"/>
        <w:bottom w:val="none" w:sz="0" w:space="0" w:color="auto"/>
        <w:right w:val="none" w:sz="0" w:space="0" w:color="auto"/>
      </w:divBdr>
    </w:div>
    <w:div w:id="1088768837">
      <w:bodyDiv w:val="1"/>
      <w:marLeft w:val="0"/>
      <w:marRight w:val="0"/>
      <w:marTop w:val="0"/>
      <w:marBottom w:val="0"/>
      <w:divBdr>
        <w:top w:val="none" w:sz="0" w:space="0" w:color="auto"/>
        <w:left w:val="none" w:sz="0" w:space="0" w:color="auto"/>
        <w:bottom w:val="none" w:sz="0" w:space="0" w:color="auto"/>
        <w:right w:val="none" w:sz="0" w:space="0" w:color="auto"/>
      </w:divBdr>
    </w:div>
    <w:div w:id="1126310231">
      <w:bodyDiv w:val="1"/>
      <w:marLeft w:val="0"/>
      <w:marRight w:val="0"/>
      <w:marTop w:val="0"/>
      <w:marBottom w:val="0"/>
      <w:divBdr>
        <w:top w:val="none" w:sz="0" w:space="0" w:color="auto"/>
        <w:left w:val="none" w:sz="0" w:space="0" w:color="auto"/>
        <w:bottom w:val="none" w:sz="0" w:space="0" w:color="auto"/>
        <w:right w:val="none" w:sz="0" w:space="0" w:color="auto"/>
      </w:divBdr>
    </w:div>
    <w:div w:id="1133596407">
      <w:bodyDiv w:val="1"/>
      <w:marLeft w:val="0"/>
      <w:marRight w:val="0"/>
      <w:marTop w:val="0"/>
      <w:marBottom w:val="0"/>
      <w:divBdr>
        <w:top w:val="none" w:sz="0" w:space="0" w:color="auto"/>
        <w:left w:val="none" w:sz="0" w:space="0" w:color="auto"/>
        <w:bottom w:val="none" w:sz="0" w:space="0" w:color="auto"/>
        <w:right w:val="none" w:sz="0" w:space="0" w:color="auto"/>
      </w:divBdr>
    </w:div>
    <w:div w:id="1172180164">
      <w:bodyDiv w:val="1"/>
      <w:marLeft w:val="0"/>
      <w:marRight w:val="0"/>
      <w:marTop w:val="0"/>
      <w:marBottom w:val="0"/>
      <w:divBdr>
        <w:top w:val="none" w:sz="0" w:space="0" w:color="auto"/>
        <w:left w:val="none" w:sz="0" w:space="0" w:color="auto"/>
        <w:bottom w:val="none" w:sz="0" w:space="0" w:color="auto"/>
        <w:right w:val="none" w:sz="0" w:space="0" w:color="auto"/>
      </w:divBdr>
    </w:div>
    <w:div w:id="1208687663">
      <w:bodyDiv w:val="1"/>
      <w:marLeft w:val="0"/>
      <w:marRight w:val="0"/>
      <w:marTop w:val="0"/>
      <w:marBottom w:val="0"/>
      <w:divBdr>
        <w:top w:val="none" w:sz="0" w:space="0" w:color="auto"/>
        <w:left w:val="none" w:sz="0" w:space="0" w:color="auto"/>
        <w:bottom w:val="none" w:sz="0" w:space="0" w:color="auto"/>
        <w:right w:val="none" w:sz="0" w:space="0" w:color="auto"/>
      </w:divBdr>
    </w:div>
    <w:div w:id="1212618687">
      <w:bodyDiv w:val="1"/>
      <w:marLeft w:val="0"/>
      <w:marRight w:val="0"/>
      <w:marTop w:val="0"/>
      <w:marBottom w:val="0"/>
      <w:divBdr>
        <w:top w:val="none" w:sz="0" w:space="0" w:color="auto"/>
        <w:left w:val="none" w:sz="0" w:space="0" w:color="auto"/>
        <w:bottom w:val="none" w:sz="0" w:space="0" w:color="auto"/>
        <w:right w:val="none" w:sz="0" w:space="0" w:color="auto"/>
      </w:divBdr>
    </w:div>
    <w:div w:id="1227572832">
      <w:bodyDiv w:val="1"/>
      <w:marLeft w:val="0"/>
      <w:marRight w:val="0"/>
      <w:marTop w:val="0"/>
      <w:marBottom w:val="0"/>
      <w:divBdr>
        <w:top w:val="none" w:sz="0" w:space="0" w:color="auto"/>
        <w:left w:val="none" w:sz="0" w:space="0" w:color="auto"/>
        <w:bottom w:val="none" w:sz="0" w:space="0" w:color="auto"/>
        <w:right w:val="none" w:sz="0" w:space="0" w:color="auto"/>
      </w:divBdr>
    </w:div>
    <w:div w:id="1234201031">
      <w:bodyDiv w:val="1"/>
      <w:marLeft w:val="0"/>
      <w:marRight w:val="0"/>
      <w:marTop w:val="0"/>
      <w:marBottom w:val="0"/>
      <w:divBdr>
        <w:top w:val="none" w:sz="0" w:space="0" w:color="auto"/>
        <w:left w:val="none" w:sz="0" w:space="0" w:color="auto"/>
        <w:bottom w:val="none" w:sz="0" w:space="0" w:color="auto"/>
        <w:right w:val="none" w:sz="0" w:space="0" w:color="auto"/>
      </w:divBdr>
    </w:div>
    <w:div w:id="1248005448">
      <w:bodyDiv w:val="1"/>
      <w:marLeft w:val="0"/>
      <w:marRight w:val="0"/>
      <w:marTop w:val="0"/>
      <w:marBottom w:val="0"/>
      <w:divBdr>
        <w:top w:val="none" w:sz="0" w:space="0" w:color="auto"/>
        <w:left w:val="none" w:sz="0" w:space="0" w:color="auto"/>
        <w:bottom w:val="none" w:sz="0" w:space="0" w:color="auto"/>
        <w:right w:val="none" w:sz="0" w:space="0" w:color="auto"/>
      </w:divBdr>
    </w:div>
    <w:div w:id="1304118803">
      <w:bodyDiv w:val="1"/>
      <w:marLeft w:val="0"/>
      <w:marRight w:val="0"/>
      <w:marTop w:val="0"/>
      <w:marBottom w:val="0"/>
      <w:divBdr>
        <w:top w:val="none" w:sz="0" w:space="0" w:color="auto"/>
        <w:left w:val="none" w:sz="0" w:space="0" w:color="auto"/>
        <w:bottom w:val="none" w:sz="0" w:space="0" w:color="auto"/>
        <w:right w:val="none" w:sz="0" w:space="0" w:color="auto"/>
      </w:divBdr>
    </w:div>
    <w:div w:id="1314021838">
      <w:bodyDiv w:val="1"/>
      <w:marLeft w:val="0"/>
      <w:marRight w:val="0"/>
      <w:marTop w:val="0"/>
      <w:marBottom w:val="0"/>
      <w:divBdr>
        <w:top w:val="none" w:sz="0" w:space="0" w:color="auto"/>
        <w:left w:val="none" w:sz="0" w:space="0" w:color="auto"/>
        <w:bottom w:val="none" w:sz="0" w:space="0" w:color="auto"/>
        <w:right w:val="none" w:sz="0" w:space="0" w:color="auto"/>
      </w:divBdr>
    </w:div>
    <w:div w:id="1314024824">
      <w:bodyDiv w:val="1"/>
      <w:marLeft w:val="0"/>
      <w:marRight w:val="0"/>
      <w:marTop w:val="0"/>
      <w:marBottom w:val="0"/>
      <w:divBdr>
        <w:top w:val="none" w:sz="0" w:space="0" w:color="auto"/>
        <w:left w:val="none" w:sz="0" w:space="0" w:color="auto"/>
        <w:bottom w:val="none" w:sz="0" w:space="0" w:color="auto"/>
        <w:right w:val="none" w:sz="0" w:space="0" w:color="auto"/>
      </w:divBdr>
    </w:div>
    <w:div w:id="1339311880">
      <w:bodyDiv w:val="1"/>
      <w:marLeft w:val="0"/>
      <w:marRight w:val="0"/>
      <w:marTop w:val="0"/>
      <w:marBottom w:val="0"/>
      <w:divBdr>
        <w:top w:val="none" w:sz="0" w:space="0" w:color="auto"/>
        <w:left w:val="none" w:sz="0" w:space="0" w:color="auto"/>
        <w:bottom w:val="none" w:sz="0" w:space="0" w:color="auto"/>
        <w:right w:val="none" w:sz="0" w:space="0" w:color="auto"/>
      </w:divBdr>
    </w:div>
    <w:div w:id="1343968391">
      <w:bodyDiv w:val="1"/>
      <w:marLeft w:val="0"/>
      <w:marRight w:val="0"/>
      <w:marTop w:val="0"/>
      <w:marBottom w:val="0"/>
      <w:divBdr>
        <w:top w:val="none" w:sz="0" w:space="0" w:color="auto"/>
        <w:left w:val="none" w:sz="0" w:space="0" w:color="auto"/>
        <w:bottom w:val="none" w:sz="0" w:space="0" w:color="auto"/>
        <w:right w:val="none" w:sz="0" w:space="0" w:color="auto"/>
      </w:divBdr>
    </w:div>
    <w:div w:id="1387995926">
      <w:bodyDiv w:val="1"/>
      <w:marLeft w:val="0"/>
      <w:marRight w:val="0"/>
      <w:marTop w:val="0"/>
      <w:marBottom w:val="0"/>
      <w:divBdr>
        <w:top w:val="none" w:sz="0" w:space="0" w:color="auto"/>
        <w:left w:val="none" w:sz="0" w:space="0" w:color="auto"/>
        <w:bottom w:val="none" w:sz="0" w:space="0" w:color="auto"/>
        <w:right w:val="none" w:sz="0" w:space="0" w:color="auto"/>
      </w:divBdr>
    </w:div>
    <w:div w:id="1393507594">
      <w:bodyDiv w:val="1"/>
      <w:marLeft w:val="0"/>
      <w:marRight w:val="0"/>
      <w:marTop w:val="0"/>
      <w:marBottom w:val="0"/>
      <w:divBdr>
        <w:top w:val="none" w:sz="0" w:space="0" w:color="auto"/>
        <w:left w:val="none" w:sz="0" w:space="0" w:color="auto"/>
        <w:bottom w:val="none" w:sz="0" w:space="0" w:color="auto"/>
        <w:right w:val="none" w:sz="0" w:space="0" w:color="auto"/>
      </w:divBdr>
    </w:div>
    <w:div w:id="1454059817">
      <w:bodyDiv w:val="1"/>
      <w:marLeft w:val="0"/>
      <w:marRight w:val="0"/>
      <w:marTop w:val="0"/>
      <w:marBottom w:val="0"/>
      <w:divBdr>
        <w:top w:val="none" w:sz="0" w:space="0" w:color="auto"/>
        <w:left w:val="none" w:sz="0" w:space="0" w:color="auto"/>
        <w:bottom w:val="none" w:sz="0" w:space="0" w:color="auto"/>
        <w:right w:val="none" w:sz="0" w:space="0" w:color="auto"/>
      </w:divBdr>
    </w:div>
    <w:div w:id="1481342803">
      <w:bodyDiv w:val="1"/>
      <w:marLeft w:val="0"/>
      <w:marRight w:val="0"/>
      <w:marTop w:val="0"/>
      <w:marBottom w:val="0"/>
      <w:divBdr>
        <w:top w:val="none" w:sz="0" w:space="0" w:color="auto"/>
        <w:left w:val="none" w:sz="0" w:space="0" w:color="auto"/>
        <w:bottom w:val="none" w:sz="0" w:space="0" w:color="auto"/>
        <w:right w:val="none" w:sz="0" w:space="0" w:color="auto"/>
      </w:divBdr>
    </w:div>
    <w:div w:id="1505782053">
      <w:bodyDiv w:val="1"/>
      <w:marLeft w:val="0"/>
      <w:marRight w:val="0"/>
      <w:marTop w:val="0"/>
      <w:marBottom w:val="0"/>
      <w:divBdr>
        <w:top w:val="none" w:sz="0" w:space="0" w:color="auto"/>
        <w:left w:val="none" w:sz="0" w:space="0" w:color="auto"/>
        <w:bottom w:val="none" w:sz="0" w:space="0" w:color="auto"/>
        <w:right w:val="none" w:sz="0" w:space="0" w:color="auto"/>
      </w:divBdr>
    </w:div>
    <w:div w:id="1524786738">
      <w:bodyDiv w:val="1"/>
      <w:marLeft w:val="0"/>
      <w:marRight w:val="0"/>
      <w:marTop w:val="0"/>
      <w:marBottom w:val="0"/>
      <w:divBdr>
        <w:top w:val="none" w:sz="0" w:space="0" w:color="auto"/>
        <w:left w:val="none" w:sz="0" w:space="0" w:color="auto"/>
        <w:bottom w:val="none" w:sz="0" w:space="0" w:color="auto"/>
        <w:right w:val="none" w:sz="0" w:space="0" w:color="auto"/>
      </w:divBdr>
    </w:div>
    <w:div w:id="1529414437">
      <w:bodyDiv w:val="1"/>
      <w:marLeft w:val="0"/>
      <w:marRight w:val="0"/>
      <w:marTop w:val="0"/>
      <w:marBottom w:val="0"/>
      <w:divBdr>
        <w:top w:val="none" w:sz="0" w:space="0" w:color="auto"/>
        <w:left w:val="none" w:sz="0" w:space="0" w:color="auto"/>
        <w:bottom w:val="none" w:sz="0" w:space="0" w:color="auto"/>
        <w:right w:val="none" w:sz="0" w:space="0" w:color="auto"/>
      </w:divBdr>
    </w:div>
    <w:div w:id="1544488398">
      <w:bodyDiv w:val="1"/>
      <w:marLeft w:val="0"/>
      <w:marRight w:val="0"/>
      <w:marTop w:val="0"/>
      <w:marBottom w:val="0"/>
      <w:divBdr>
        <w:top w:val="none" w:sz="0" w:space="0" w:color="auto"/>
        <w:left w:val="none" w:sz="0" w:space="0" w:color="auto"/>
        <w:bottom w:val="none" w:sz="0" w:space="0" w:color="auto"/>
        <w:right w:val="none" w:sz="0" w:space="0" w:color="auto"/>
      </w:divBdr>
    </w:div>
    <w:div w:id="1550145546">
      <w:bodyDiv w:val="1"/>
      <w:marLeft w:val="0"/>
      <w:marRight w:val="0"/>
      <w:marTop w:val="0"/>
      <w:marBottom w:val="0"/>
      <w:divBdr>
        <w:top w:val="none" w:sz="0" w:space="0" w:color="auto"/>
        <w:left w:val="none" w:sz="0" w:space="0" w:color="auto"/>
        <w:bottom w:val="none" w:sz="0" w:space="0" w:color="auto"/>
        <w:right w:val="none" w:sz="0" w:space="0" w:color="auto"/>
      </w:divBdr>
    </w:div>
    <w:div w:id="1554730362">
      <w:bodyDiv w:val="1"/>
      <w:marLeft w:val="0"/>
      <w:marRight w:val="0"/>
      <w:marTop w:val="0"/>
      <w:marBottom w:val="0"/>
      <w:divBdr>
        <w:top w:val="none" w:sz="0" w:space="0" w:color="auto"/>
        <w:left w:val="none" w:sz="0" w:space="0" w:color="auto"/>
        <w:bottom w:val="none" w:sz="0" w:space="0" w:color="auto"/>
        <w:right w:val="none" w:sz="0" w:space="0" w:color="auto"/>
      </w:divBdr>
    </w:div>
    <w:div w:id="1576938302">
      <w:bodyDiv w:val="1"/>
      <w:marLeft w:val="0"/>
      <w:marRight w:val="0"/>
      <w:marTop w:val="0"/>
      <w:marBottom w:val="0"/>
      <w:divBdr>
        <w:top w:val="none" w:sz="0" w:space="0" w:color="auto"/>
        <w:left w:val="none" w:sz="0" w:space="0" w:color="auto"/>
        <w:bottom w:val="none" w:sz="0" w:space="0" w:color="auto"/>
        <w:right w:val="none" w:sz="0" w:space="0" w:color="auto"/>
      </w:divBdr>
    </w:div>
    <w:div w:id="1620988586">
      <w:bodyDiv w:val="1"/>
      <w:marLeft w:val="0"/>
      <w:marRight w:val="0"/>
      <w:marTop w:val="0"/>
      <w:marBottom w:val="0"/>
      <w:divBdr>
        <w:top w:val="none" w:sz="0" w:space="0" w:color="auto"/>
        <w:left w:val="none" w:sz="0" w:space="0" w:color="auto"/>
        <w:bottom w:val="none" w:sz="0" w:space="0" w:color="auto"/>
        <w:right w:val="none" w:sz="0" w:space="0" w:color="auto"/>
      </w:divBdr>
    </w:div>
    <w:div w:id="1678076594">
      <w:bodyDiv w:val="1"/>
      <w:marLeft w:val="0"/>
      <w:marRight w:val="0"/>
      <w:marTop w:val="0"/>
      <w:marBottom w:val="0"/>
      <w:divBdr>
        <w:top w:val="none" w:sz="0" w:space="0" w:color="auto"/>
        <w:left w:val="none" w:sz="0" w:space="0" w:color="auto"/>
        <w:bottom w:val="none" w:sz="0" w:space="0" w:color="auto"/>
        <w:right w:val="none" w:sz="0" w:space="0" w:color="auto"/>
      </w:divBdr>
    </w:div>
    <w:div w:id="1692416797">
      <w:bodyDiv w:val="1"/>
      <w:marLeft w:val="0"/>
      <w:marRight w:val="0"/>
      <w:marTop w:val="0"/>
      <w:marBottom w:val="0"/>
      <w:divBdr>
        <w:top w:val="none" w:sz="0" w:space="0" w:color="auto"/>
        <w:left w:val="none" w:sz="0" w:space="0" w:color="auto"/>
        <w:bottom w:val="none" w:sz="0" w:space="0" w:color="auto"/>
        <w:right w:val="none" w:sz="0" w:space="0" w:color="auto"/>
      </w:divBdr>
    </w:div>
    <w:div w:id="1705715598">
      <w:bodyDiv w:val="1"/>
      <w:marLeft w:val="0"/>
      <w:marRight w:val="0"/>
      <w:marTop w:val="0"/>
      <w:marBottom w:val="0"/>
      <w:divBdr>
        <w:top w:val="none" w:sz="0" w:space="0" w:color="auto"/>
        <w:left w:val="none" w:sz="0" w:space="0" w:color="auto"/>
        <w:bottom w:val="none" w:sz="0" w:space="0" w:color="auto"/>
        <w:right w:val="none" w:sz="0" w:space="0" w:color="auto"/>
      </w:divBdr>
    </w:div>
    <w:div w:id="1731534847">
      <w:bodyDiv w:val="1"/>
      <w:marLeft w:val="0"/>
      <w:marRight w:val="0"/>
      <w:marTop w:val="0"/>
      <w:marBottom w:val="0"/>
      <w:divBdr>
        <w:top w:val="none" w:sz="0" w:space="0" w:color="auto"/>
        <w:left w:val="none" w:sz="0" w:space="0" w:color="auto"/>
        <w:bottom w:val="none" w:sz="0" w:space="0" w:color="auto"/>
        <w:right w:val="none" w:sz="0" w:space="0" w:color="auto"/>
      </w:divBdr>
    </w:div>
    <w:div w:id="1776748913">
      <w:bodyDiv w:val="1"/>
      <w:marLeft w:val="0"/>
      <w:marRight w:val="0"/>
      <w:marTop w:val="0"/>
      <w:marBottom w:val="0"/>
      <w:divBdr>
        <w:top w:val="none" w:sz="0" w:space="0" w:color="auto"/>
        <w:left w:val="none" w:sz="0" w:space="0" w:color="auto"/>
        <w:bottom w:val="none" w:sz="0" w:space="0" w:color="auto"/>
        <w:right w:val="none" w:sz="0" w:space="0" w:color="auto"/>
      </w:divBdr>
    </w:div>
    <w:div w:id="1794129018">
      <w:bodyDiv w:val="1"/>
      <w:marLeft w:val="0"/>
      <w:marRight w:val="0"/>
      <w:marTop w:val="0"/>
      <w:marBottom w:val="0"/>
      <w:divBdr>
        <w:top w:val="none" w:sz="0" w:space="0" w:color="auto"/>
        <w:left w:val="none" w:sz="0" w:space="0" w:color="auto"/>
        <w:bottom w:val="none" w:sz="0" w:space="0" w:color="auto"/>
        <w:right w:val="none" w:sz="0" w:space="0" w:color="auto"/>
      </w:divBdr>
    </w:div>
    <w:div w:id="1828327078">
      <w:bodyDiv w:val="1"/>
      <w:marLeft w:val="0"/>
      <w:marRight w:val="0"/>
      <w:marTop w:val="0"/>
      <w:marBottom w:val="0"/>
      <w:divBdr>
        <w:top w:val="none" w:sz="0" w:space="0" w:color="auto"/>
        <w:left w:val="none" w:sz="0" w:space="0" w:color="auto"/>
        <w:bottom w:val="none" w:sz="0" w:space="0" w:color="auto"/>
        <w:right w:val="none" w:sz="0" w:space="0" w:color="auto"/>
      </w:divBdr>
    </w:div>
    <w:div w:id="1830437755">
      <w:bodyDiv w:val="1"/>
      <w:marLeft w:val="0"/>
      <w:marRight w:val="0"/>
      <w:marTop w:val="0"/>
      <w:marBottom w:val="0"/>
      <w:divBdr>
        <w:top w:val="none" w:sz="0" w:space="0" w:color="auto"/>
        <w:left w:val="none" w:sz="0" w:space="0" w:color="auto"/>
        <w:bottom w:val="none" w:sz="0" w:space="0" w:color="auto"/>
        <w:right w:val="none" w:sz="0" w:space="0" w:color="auto"/>
      </w:divBdr>
    </w:div>
    <w:div w:id="1837650005">
      <w:bodyDiv w:val="1"/>
      <w:marLeft w:val="0"/>
      <w:marRight w:val="0"/>
      <w:marTop w:val="0"/>
      <w:marBottom w:val="0"/>
      <w:divBdr>
        <w:top w:val="none" w:sz="0" w:space="0" w:color="auto"/>
        <w:left w:val="none" w:sz="0" w:space="0" w:color="auto"/>
        <w:bottom w:val="none" w:sz="0" w:space="0" w:color="auto"/>
        <w:right w:val="none" w:sz="0" w:space="0" w:color="auto"/>
      </w:divBdr>
    </w:div>
    <w:div w:id="1844859277">
      <w:bodyDiv w:val="1"/>
      <w:marLeft w:val="0"/>
      <w:marRight w:val="0"/>
      <w:marTop w:val="0"/>
      <w:marBottom w:val="0"/>
      <w:divBdr>
        <w:top w:val="none" w:sz="0" w:space="0" w:color="auto"/>
        <w:left w:val="none" w:sz="0" w:space="0" w:color="auto"/>
        <w:bottom w:val="none" w:sz="0" w:space="0" w:color="auto"/>
        <w:right w:val="none" w:sz="0" w:space="0" w:color="auto"/>
      </w:divBdr>
    </w:div>
    <w:div w:id="1862433492">
      <w:bodyDiv w:val="1"/>
      <w:marLeft w:val="0"/>
      <w:marRight w:val="0"/>
      <w:marTop w:val="0"/>
      <w:marBottom w:val="0"/>
      <w:divBdr>
        <w:top w:val="none" w:sz="0" w:space="0" w:color="auto"/>
        <w:left w:val="none" w:sz="0" w:space="0" w:color="auto"/>
        <w:bottom w:val="none" w:sz="0" w:space="0" w:color="auto"/>
        <w:right w:val="none" w:sz="0" w:space="0" w:color="auto"/>
      </w:divBdr>
    </w:div>
    <w:div w:id="1867938128">
      <w:bodyDiv w:val="1"/>
      <w:marLeft w:val="0"/>
      <w:marRight w:val="0"/>
      <w:marTop w:val="0"/>
      <w:marBottom w:val="0"/>
      <w:divBdr>
        <w:top w:val="none" w:sz="0" w:space="0" w:color="auto"/>
        <w:left w:val="none" w:sz="0" w:space="0" w:color="auto"/>
        <w:bottom w:val="none" w:sz="0" w:space="0" w:color="auto"/>
        <w:right w:val="none" w:sz="0" w:space="0" w:color="auto"/>
      </w:divBdr>
    </w:div>
    <w:div w:id="1882087068">
      <w:bodyDiv w:val="1"/>
      <w:marLeft w:val="0"/>
      <w:marRight w:val="0"/>
      <w:marTop w:val="0"/>
      <w:marBottom w:val="0"/>
      <w:divBdr>
        <w:top w:val="none" w:sz="0" w:space="0" w:color="auto"/>
        <w:left w:val="none" w:sz="0" w:space="0" w:color="auto"/>
        <w:bottom w:val="none" w:sz="0" w:space="0" w:color="auto"/>
        <w:right w:val="none" w:sz="0" w:space="0" w:color="auto"/>
      </w:divBdr>
    </w:div>
    <w:div w:id="1901942538">
      <w:bodyDiv w:val="1"/>
      <w:marLeft w:val="0"/>
      <w:marRight w:val="0"/>
      <w:marTop w:val="0"/>
      <w:marBottom w:val="0"/>
      <w:divBdr>
        <w:top w:val="none" w:sz="0" w:space="0" w:color="auto"/>
        <w:left w:val="none" w:sz="0" w:space="0" w:color="auto"/>
        <w:bottom w:val="none" w:sz="0" w:space="0" w:color="auto"/>
        <w:right w:val="none" w:sz="0" w:space="0" w:color="auto"/>
      </w:divBdr>
    </w:div>
    <w:div w:id="1905138053">
      <w:bodyDiv w:val="1"/>
      <w:marLeft w:val="0"/>
      <w:marRight w:val="0"/>
      <w:marTop w:val="0"/>
      <w:marBottom w:val="0"/>
      <w:divBdr>
        <w:top w:val="none" w:sz="0" w:space="0" w:color="auto"/>
        <w:left w:val="none" w:sz="0" w:space="0" w:color="auto"/>
        <w:bottom w:val="none" w:sz="0" w:space="0" w:color="auto"/>
        <w:right w:val="none" w:sz="0" w:space="0" w:color="auto"/>
      </w:divBdr>
    </w:div>
    <w:div w:id="1949196378">
      <w:bodyDiv w:val="1"/>
      <w:marLeft w:val="0"/>
      <w:marRight w:val="0"/>
      <w:marTop w:val="0"/>
      <w:marBottom w:val="0"/>
      <w:divBdr>
        <w:top w:val="none" w:sz="0" w:space="0" w:color="auto"/>
        <w:left w:val="none" w:sz="0" w:space="0" w:color="auto"/>
        <w:bottom w:val="none" w:sz="0" w:space="0" w:color="auto"/>
        <w:right w:val="none" w:sz="0" w:space="0" w:color="auto"/>
      </w:divBdr>
    </w:div>
    <w:div w:id="1955164439">
      <w:bodyDiv w:val="1"/>
      <w:marLeft w:val="0"/>
      <w:marRight w:val="0"/>
      <w:marTop w:val="0"/>
      <w:marBottom w:val="0"/>
      <w:divBdr>
        <w:top w:val="none" w:sz="0" w:space="0" w:color="auto"/>
        <w:left w:val="none" w:sz="0" w:space="0" w:color="auto"/>
        <w:bottom w:val="none" w:sz="0" w:space="0" w:color="auto"/>
        <w:right w:val="none" w:sz="0" w:space="0" w:color="auto"/>
      </w:divBdr>
    </w:div>
    <w:div w:id="2055615254">
      <w:bodyDiv w:val="1"/>
      <w:marLeft w:val="0"/>
      <w:marRight w:val="0"/>
      <w:marTop w:val="0"/>
      <w:marBottom w:val="0"/>
      <w:divBdr>
        <w:top w:val="none" w:sz="0" w:space="0" w:color="auto"/>
        <w:left w:val="none" w:sz="0" w:space="0" w:color="auto"/>
        <w:bottom w:val="none" w:sz="0" w:space="0" w:color="auto"/>
        <w:right w:val="none" w:sz="0" w:space="0" w:color="auto"/>
      </w:divBdr>
    </w:div>
    <w:div w:id="2073044221">
      <w:bodyDiv w:val="1"/>
      <w:marLeft w:val="0"/>
      <w:marRight w:val="0"/>
      <w:marTop w:val="0"/>
      <w:marBottom w:val="0"/>
      <w:divBdr>
        <w:top w:val="none" w:sz="0" w:space="0" w:color="auto"/>
        <w:left w:val="none" w:sz="0" w:space="0" w:color="auto"/>
        <w:bottom w:val="none" w:sz="0" w:space="0" w:color="auto"/>
        <w:right w:val="none" w:sz="0" w:space="0" w:color="auto"/>
      </w:divBdr>
    </w:div>
    <w:div w:id="2075081699">
      <w:bodyDiv w:val="1"/>
      <w:marLeft w:val="0"/>
      <w:marRight w:val="0"/>
      <w:marTop w:val="0"/>
      <w:marBottom w:val="0"/>
      <w:divBdr>
        <w:top w:val="none" w:sz="0" w:space="0" w:color="auto"/>
        <w:left w:val="none" w:sz="0" w:space="0" w:color="auto"/>
        <w:bottom w:val="none" w:sz="0" w:space="0" w:color="auto"/>
        <w:right w:val="none" w:sz="0" w:space="0" w:color="auto"/>
      </w:divBdr>
    </w:div>
    <w:div w:id="2085368763">
      <w:bodyDiv w:val="1"/>
      <w:marLeft w:val="0"/>
      <w:marRight w:val="0"/>
      <w:marTop w:val="0"/>
      <w:marBottom w:val="0"/>
      <w:divBdr>
        <w:top w:val="none" w:sz="0" w:space="0" w:color="auto"/>
        <w:left w:val="none" w:sz="0" w:space="0" w:color="auto"/>
        <w:bottom w:val="none" w:sz="0" w:space="0" w:color="auto"/>
        <w:right w:val="none" w:sz="0" w:space="0" w:color="auto"/>
      </w:divBdr>
    </w:div>
    <w:div w:id="2087534223">
      <w:bodyDiv w:val="1"/>
      <w:marLeft w:val="0"/>
      <w:marRight w:val="0"/>
      <w:marTop w:val="0"/>
      <w:marBottom w:val="0"/>
      <w:divBdr>
        <w:top w:val="none" w:sz="0" w:space="0" w:color="auto"/>
        <w:left w:val="none" w:sz="0" w:space="0" w:color="auto"/>
        <w:bottom w:val="none" w:sz="0" w:space="0" w:color="auto"/>
        <w:right w:val="none" w:sz="0" w:space="0" w:color="auto"/>
      </w:divBdr>
    </w:div>
    <w:div w:id="2111119758">
      <w:bodyDiv w:val="1"/>
      <w:marLeft w:val="0"/>
      <w:marRight w:val="0"/>
      <w:marTop w:val="0"/>
      <w:marBottom w:val="0"/>
      <w:divBdr>
        <w:top w:val="none" w:sz="0" w:space="0" w:color="auto"/>
        <w:left w:val="none" w:sz="0" w:space="0" w:color="auto"/>
        <w:bottom w:val="none" w:sz="0" w:space="0" w:color="auto"/>
        <w:right w:val="none" w:sz="0" w:space="0" w:color="auto"/>
      </w:divBdr>
    </w:div>
    <w:div w:id="211709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Data" Target="diagrams/data3.xml"/><Relationship Id="rId26" Type="http://schemas.openxmlformats.org/officeDocument/2006/relationships/image" Target="media/image3.png"/><Relationship Id="rId39" Type="http://schemas.openxmlformats.org/officeDocument/2006/relationships/image" Target="media/image14.png"/><Relationship Id="rId21" Type="http://schemas.openxmlformats.org/officeDocument/2006/relationships/diagramColors" Target="diagrams/colors3.xml"/><Relationship Id="rId34" Type="http://schemas.openxmlformats.org/officeDocument/2006/relationships/image" Target="media/image9.png"/><Relationship Id="rId42" Type="http://schemas.openxmlformats.org/officeDocument/2006/relationships/image" Target="media/image17.png"/><Relationship Id="rId47" Type="http://schemas.openxmlformats.org/officeDocument/2006/relationships/oleObject" Target="embeddings/oleObject1.bin"/><Relationship Id="rId50" Type="http://schemas.openxmlformats.org/officeDocument/2006/relationships/oleObject" Target="embeddings/oleObject2.bin"/><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Colors" Target="diagrams/colors2.xml"/><Relationship Id="rId25" Type="http://schemas.openxmlformats.org/officeDocument/2006/relationships/diagramColors" Target="diagrams/colors4.xml"/><Relationship Id="rId33" Type="http://schemas.openxmlformats.org/officeDocument/2006/relationships/image" Target="media/image8.png"/><Relationship Id="rId38" Type="http://schemas.openxmlformats.org/officeDocument/2006/relationships/image" Target="media/image13.png"/><Relationship Id="rId46"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QuickStyle" Target="diagrams/quickStyle3.xml"/><Relationship Id="rId29" Type="http://schemas.openxmlformats.org/officeDocument/2006/relationships/image" Target="media/image4.png"/><Relationship Id="rId41" Type="http://schemas.openxmlformats.org/officeDocument/2006/relationships/image" Target="media/image16.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QuickStyle" Target="diagrams/quickStyle4.xml"/><Relationship Id="rId32" Type="http://schemas.openxmlformats.org/officeDocument/2006/relationships/image" Target="media/image7.png"/><Relationship Id="rId37" Type="http://schemas.openxmlformats.org/officeDocument/2006/relationships/image" Target="media/image12.png"/><Relationship Id="rId40" Type="http://schemas.openxmlformats.org/officeDocument/2006/relationships/image" Target="media/image15.emf"/><Relationship Id="rId45" Type="http://schemas.openxmlformats.org/officeDocument/2006/relationships/image" Target="media/image20.png"/><Relationship Id="rId53"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Layout" Target="diagrams/layout4.xml"/><Relationship Id="rId28" Type="http://schemas.openxmlformats.org/officeDocument/2006/relationships/hyperlink" Target="http://www.insse.ro" TargetMode="External"/><Relationship Id="rId36" Type="http://schemas.openxmlformats.org/officeDocument/2006/relationships/image" Target="media/image11.png"/><Relationship Id="rId49" Type="http://schemas.openxmlformats.org/officeDocument/2006/relationships/image" Target="media/image23.png"/><Relationship Id="rId10" Type="http://schemas.openxmlformats.org/officeDocument/2006/relationships/diagramData" Target="diagrams/data1.xml"/><Relationship Id="rId19" Type="http://schemas.openxmlformats.org/officeDocument/2006/relationships/diagramLayout" Target="diagrams/layout3.xml"/><Relationship Id="rId31" Type="http://schemas.openxmlformats.org/officeDocument/2006/relationships/image" Target="media/image6.png"/><Relationship Id="rId44" Type="http://schemas.openxmlformats.org/officeDocument/2006/relationships/image" Target="media/image19.png"/><Relationship Id="rId52" Type="http://schemas.openxmlformats.org/officeDocument/2006/relationships/oleObject" Target="embeddings/Microsoft_Office_Excel_97-2003_Worksheet1.xls"/><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Data" Target="diagrams/data2.xml"/><Relationship Id="rId22" Type="http://schemas.openxmlformats.org/officeDocument/2006/relationships/diagramData" Target="diagrams/data4.xml"/><Relationship Id="rId27" Type="http://schemas.openxmlformats.org/officeDocument/2006/relationships/hyperlink" Target="http://www.insse.ro" TargetMode="External"/><Relationship Id="rId30" Type="http://schemas.openxmlformats.org/officeDocument/2006/relationships/image" Target="media/image5.png"/><Relationship Id="rId35" Type="http://schemas.openxmlformats.org/officeDocument/2006/relationships/image" Target="media/image10.png"/><Relationship Id="rId43" Type="http://schemas.openxmlformats.org/officeDocument/2006/relationships/image" Target="media/image18.png"/><Relationship Id="rId48" Type="http://schemas.openxmlformats.org/officeDocument/2006/relationships/image" Target="media/image22.png"/><Relationship Id="rId8" Type="http://schemas.openxmlformats.org/officeDocument/2006/relationships/header" Target="header1.xml"/><Relationship Id="rId51" Type="http://schemas.openxmlformats.org/officeDocument/2006/relationships/image" Target="media/image24.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702130-58C9-4658-83EF-6EAB358F1FBB}" type="doc">
      <dgm:prSet loTypeId="urn:microsoft.com/office/officeart/2005/8/layout/process1" loCatId="process" qsTypeId="urn:microsoft.com/office/officeart/2005/8/quickstyle/simple3" qsCatId="simple" csTypeId="urn:microsoft.com/office/officeart/2005/8/colors/accent3_3" csCatId="accent3" phldr="1"/>
      <dgm:spPr/>
    </dgm:pt>
    <dgm:pt modelId="{09D24D36-C54B-4133-B020-96A604BE93E4}">
      <dgm:prSet phldrT="[Text]" custT="1"/>
      <dgm:spPr/>
      <dgm:t>
        <a:bodyPr/>
        <a:lstStyle/>
        <a:p>
          <a:r>
            <a:rPr lang="ro-RO" sz="1000" b="1"/>
            <a:t>FOND DE INVESTITII</a:t>
          </a:r>
          <a:endParaRPr lang="en-US" sz="1000" b="1"/>
        </a:p>
      </dgm:t>
    </dgm:pt>
    <dgm:pt modelId="{776041A7-C052-4F09-82A2-9A87CF72CC20}" type="parTrans" cxnId="{1E422FCE-024B-4255-B27A-7F0843E8E9EF}">
      <dgm:prSet/>
      <dgm:spPr/>
      <dgm:t>
        <a:bodyPr/>
        <a:lstStyle/>
        <a:p>
          <a:endParaRPr lang="en-US"/>
        </a:p>
      </dgm:t>
    </dgm:pt>
    <dgm:pt modelId="{3552EF33-9CDE-4511-89ED-A409F743772B}" type="sibTrans" cxnId="{1E422FCE-024B-4255-B27A-7F0843E8E9EF}">
      <dgm:prSet/>
      <dgm:spPr/>
      <dgm:t>
        <a:bodyPr/>
        <a:lstStyle/>
        <a:p>
          <a:endParaRPr lang="en-US"/>
        </a:p>
      </dgm:t>
    </dgm:pt>
    <dgm:pt modelId="{5211C398-3300-4983-9F38-CF3403A67B30}">
      <dgm:prSet phldrT="[Text]" custT="1"/>
      <dgm:spPr/>
      <dgm:t>
        <a:bodyPr/>
        <a:lstStyle/>
        <a:p>
          <a:r>
            <a:rPr lang="ro-RO" sz="1000" b="1"/>
            <a:t>INVESTITORI</a:t>
          </a:r>
          <a:endParaRPr lang="en-US" sz="1000" b="1"/>
        </a:p>
      </dgm:t>
    </dgm:pt>
    <dgm:pt modelId="{323681BD-9BAD-433F-AFBE-8DB140751573}" type="parTrans" cxnId="{3EEF1350-DA22-4854-A166-AF87137FF669}">
      <dgm:prSet/>
      <dgm:spPr/>
      <dgm:t>
        <a:bodyPr/>
        <a:lstStyle/>
        <a:p>
          <a:endParaRPr lang="en-US"/>
        </a:p>
      </dgm:t>
    </dgm:pt>
    <dgm:pt modelId="{C8B2F9D0-0E73-45AD-B232-13D779572902}" type="sibTrans" cxnId="{3EEF1350-DA22-4854-A166-AF87137FF669}">
      <dgm:prSet/>
      <dgm:spPr/>
      <dgm:t>
        <a:bodyPr/>
        <a:lstStyle/>
        <a:p>
          <a:endParaRPr lang="en-US"/>
        </a:p>
      </dgm:t>
    </dgm:pt>
    <dgm:pt modelId="{FE0E19B1-1708-43EC-9D05-690437B2DE11}">
      <dgm:prSet custT="1"/>
      <dgm:spPr/>
      <dgm:t>
        <a:bodyPr/>
        <a:lstStyle/>
        <a:p>
          <a:r>
            <a:rPr lang="ro-RO" sz="1000" b="1"/>
            <a:t>EMITERE - VANZARE UNITATI DE FOND </a:t>
          </a:r>
          <a:endParaRPr lang="en-US" sz="1000" b="1"/>
        </a:p>
      </dgm:t>
    </dgm:pt>
    <dgm:pt modelId="{3D0B131C-5A54-4677-AFB9-5C6F7C80D31B}" type="parTrans" cxnId="{F1BEF7B3-7142-45BD-BCD1-AE3D2A028C1E}">
      <dgm:prSet/>
      <dgm:spPr/>
      <dgm:t>
        <a:bodyPr/>
        <a:lstStyle/>
        <a:p>
          <a:endParaRPr lang="en-US"/>
        </a:p>
      </dgm:t>
    </dgm:pt>
    <dgm:pt modelId="{82208765-11D8-4B5A-948F-FA18978A12C6}" type="sibTrans" cxnId="{F1BEF7B3-7142-45BD-BCD1-AE3D2A028C1E}">
      <dgm:prSet/>
      <dgm:spPr/>
      <dgm:t>
        <a:bodyPr/>
        <a:lstStyle/>
        <a:p>
          <a:endParaRPr lang="en-US"/>
        </a:p>
      </dgm:t>
    </dgm:pt>
    <dgm:pt modelId="{BD2BC5CC-0F75-4003-9143-5DFF4DEBD06D}" type="pres">
      <dgm:prSet presAssocID="{E2702130-58C9-4658-83EF-6EAB358F1FBB}" presName="Name0" presStyleCnt="0">
        <dgm:presLayoutVars>
          <dgm:dir/>
          <dgm:resizeHandles val="exact"/>
        </dgm:presLayoutVars>
      </dgm:prSet>
      <dgm:spPr/>
    </dgm:pt>
    <dgm:pt modelId="{6A5EF006-EF51-4E27-B6AC-714034CEE4A4}" type="pres">
      <dgm:prSet presAssocID="{09D24D36-C54B-4133-B020-96A604BE93E4}" presName="node" presStyleLbl="node1" presStyleIdx="0" presStyleCnt="3">
        <dgm:presLayoutVars>
          <dgm:bulletEnabled val="1"/>
        </dgm:presLayoutVars>
      </dgm:prSet>
      <dgm:spPr/>
      <dgm:t>
        <a:bodyPr/>
        <a:lstStyle/>
        <a:p>
          <a:endParaRPr lang="en-US"/>
        </a:p>
      </dgm:t>
    </dgm:pt>
    <dgm:pt modelId="{F3640D9B-7FF1-44BE-8CCA-62C94FF95445}" type="pres">
      <dgm:prSet presAssocID="{3552EF33-9CDE-4511-89ED-A409F743772B}" presName="sibTrans" presStyleLbl="sibTrans2D1" presStyleIdx="0" presStyleCnt="2"/>
      <dgm:spPr/>
      <dgm:t>
        <a:bodyPr/>
        <a:lstStyle/>
        <a:p>
          <a:endParaRPr lang="en-US"/>
        </a:p>
      </dgm:t>
    </dgm:pt>
    <dgm:pt modelId="{FA9EED9C-9AAD-4785-8CB1-2B999F10B642}" type="pres">
      <dgm:prSet presAssocID="{3552EF33-9CDE-4511-89ED-A409F743772B}" presName="connectorText" presStyleLbl="sibTrans2D1" presStyleIdx="0" presStyleCnt="2"/>
      <dgm:spPr/>
      <dgm:t>
        <a:bodyPr/>
        <a:lstStyle/>
        <a:p>
          <a:endParaRPr lang="en-US"/>
        </a:p>
      </dgm:t>
    </dgm:pt>
    <dgm:pt modelId="{5C2E66B6-C6C2-46DE-B50C-438F9618A88A}" type="pres">
      <dgm:prSet presAssocID="{FE0E19B1-1708-43EC-9D05-690437B2DE11}" presName="node" presStyleLbl="node1" presStyleIdx="1" presStyleCnt="3" custLinFactNeighborX="8546">
        <dgm:presLayoutVars>
          <dgm:bulletEnabled val="1"/>
        </dgm:presLayoutVars>
      </dgm:prSet>
      <dgm:spPr/>
      <dgm:t>
        <a:bodyPr/>
        <a:lstStyle/>
        <a:p>
          <a:endParaRPr lang="en-US"/>
        </a:p>
      </dgm:t>
    </dgm:pt>
    <dgm:pt modelId="{93B3F92F-5640-4DCF-B573-914F23596E0E}" type="pres">
      <dgm:prSet presAssocID="{82208765-11D8-4B5A-948F-FA18978A12C6}" presName="sibTrans" presStyleLbl="sibTrans2D1" presStyleIdx="1" presStyleCnt="2"/>
      <dgm:spPr/>
      <dgm:t>
        <a:bodyPr/>
        <a:lstStyle/>
        <a:p>
          <a:endParaRPr lang="en-US"/>
        </a:p>
      </dgm:t>
    </dgm:pt>
    <dgm:pt modelId="{F483D987-F6D9-4115-8D06-D5750E5E00D4}" type="pres">
      <dgm:prSet presAssocID="{82208765-11D8-4B5A-948F-FA18978A12C6}" presName="connectorText" presStyleLbl="sibTrans2D1" presStyleIdx="1" presStyleCnt="2"/>
      <dgm:spPr/>
      <dgm:t>
        <a:bodyPr/>
        <a:lstStyle/>
        <a:p>
          <a:endParaRPr lang="en-US"/>
        </a:p>
      </dgm:t>
    </dgm:pt>
    <dgm:pt modelId="{56AF9C20-078B-4DC3-9AC2-6B7B1DCA3DDA}" type="pres">
      <dgm:prSet presAssocID="{5211C398-3300-4983-9F38-CF3403A67B30}" presName="node" presStyleLbl="node1" presStyleIdx="2" presStyleCnt="3">
        <dgm:presLayoutVars>
          <dgm:bulletEnabled val="1"/>
        </dgm:presLayoutVars>
      </dgm:prSet>
      <dgm:spPr/>
      <dgm:t>
        <a:bodyPr/>
        <a:lstStyle/>
        <a:p>
          <a:endParaRPr lang="en-US"/>
        </a:p>
      </dgm:t>
    </dgm:pt>
  </dgm:ptLst>
  <dgm:cxnLst>
    <dgm:cxn modelId="{1E422FCE-024B-4255-B27A-7F0843E8E9EF}" srcId="{E2702130-58C9-4658-83EF-6EAB358F1FBB}" destId="{09D24D36-C54B-4133-B020-96A604BE93E4}" srcOrd="0" destOrd="0" parTransId="{776041A7-C052-4F09-82A2-9A87CF72CC20}" sibTransId="{3552EF33-9CDE-4511-89ED-A409F743772B}"/>
    <dgm:cxn modelId="{F1BEF7B3-7142-45BD-BCD1-AE3D2A028C1E}" srcId="{E2702130-58C9-4658-83EF-6EAB358F1FBB}" destId="{FE0E19B1-1708-43EC-9D05-690437B2DE11}" srcOrd="1" destOrd="0" parTransId="{3D0B131C-5A54-4677-AFB9-5C6F7C80D31B}" sibTransId="{82208765-11D8-4B5A-948F-FA18978A12C6}"/>
    <dgm:cxn modelId="{F4D2B740-5E97-448E-8F36-ACC3F355BE41}" type="presOf" srcId="{82208765-11D8-4B5A-948F-FA18978A12C6}" destId="{F483D987-F6D9-4115-8D06-D5750E5E00D4}" srcOrd="1" destOrd="0" presId="urn:microsoft.com/office/officeart/2005/8/layout/process1"/>
    <dgm:cxn modelId="{16A401A4-3C60-4004-8DC8-00195CA75DFF}" type="presOf" srcId="{FE0E19B1-1708-43EC-9D05-690437B2DE11}" destId="{5C2E66B6-C6C2-46DE-B50C-438F9618A88A}" srcOrd="0" destOrd="0" presId="urn:microsoft.com/office/officeart/2005/8/layout/process1"/>
    <dgm:cxn modelId="{F9373779-37BC-4CA1-97B8-28ADFFDE1F88}" type="presOf" srcId="{3552EF33-9CDE-4511-89ED-A409F743772B}" destId="{F3640D9B-7FF1-44BE-8CCA-62C94FF95445}" srcOrd="0" destOrd="0" presId="urn:microsoft.com/office/officeart/2005/8/layout/process1"/>
    <dgm:cxn modelId="{4211B482-4FFF-472A-9141-62D0E02DBEF7}" type="presOf" srcId="{09D24D36-C54B-4133-B020-96A604BE93E4}" destId="{6A5EF006-EF51-4E27-B6AC-714034CEE4A4}" srcOrd="0" destOrd="0" presId="urn:microsoft.com/office/officeart/2005/8/layout/process1"/>
    <dgm:cxn modelId="{3EEF1350-DA22-4854-A166-AF87137FF669}" srcId="{E2702130-58C9-4658-83EF-6EAB358F1FBB}" destId="{5211C398-3300-4983-9F38-CF3403A67B30}" srcOrd="2" destOrd="0" parTransId="{323681BD-9BAD-433F-AFBE-8DB140751573}" sibTransId="{C8B2F9D0-0E73-45AD-B232-13D779572902}"/>
    <dgm:cxn modelId="{32072154-7588-4FDF-9E04-39428546C282}" type="presOf" srcId="{3552EF33-9CDE-4511-89ED-A409F743772B}" destId="{FA9EED9C-9AAD-4785-8CB1-2B999F10B642}" srcOrd="1" destOrd="0" presId="urn:microsoft.com/office/officeart/2005/8/layout/process1"/>
    <dgm:cxn modelId="{9209585F-137C-4F73-847B-3488EE922477}" type="presOf" srcId="{82208765-11D8-4B5A-948F-FA18978A12C6}" destId="{93B3F92F-5640-4DCF-B573-914F23596E0E}" srcOrd="0" destOrd="0" presId="urn:microsoft.com/office/officeart/2005/8/layout/process1"/>
    <dgm:cxn modelId="{CE2B3828-89CF-499C-AF41-0BEE89D1D8CC}" type="presOf" srcId="{E2702130-58C9-4658-83EF-6EAB358F1FBB}" destId="{BD2BC5CC-0F75-4003-9143-5DFF4DEBD06D}" srcOrd="0" destOrd="0" presId="urn:microsoft.com/office/officeart/2005/8/layout/process1"/>
    <dgm:cxn modelId="{6379F8F9-2EA2-4293-ADF3-8A0F43FDCEDD}" type="presOf" srcId="{5211C398-3300-4983-9F38-CF3403A67B30}" destId="{56AF9C20-078B-4DC3-9AC2-6B7B1DCA3DDA}" srcOrd="0" destOrd="0" presId="urn:microsoft.com/office/officeart/2005/8/layout/process1"/>
    <dgm:cxn modelId="{7613677B-4061-4562-ABED-330D07E13422}" type="presParOf" srcId="{BD2BC5CC-0F75-4003-9143-5DFF4DEBD06D}" destId="{6A5EF006-EF51-4E27-B6AC-714034CEE4A4}" srcOrd="0" destOrd="0" presId="urn:microsoft.com/office/officeart/2005/8/layout/process1"/>
    <dgm:cxn modelId="{215D6E6A-3F32-404E-91AA-A5627AF98C74}" type="presParOf" srcId="{BD2BC5CC-0F75-4003-9143-5DFF4DEBD06D}" destId="{F3640D9B-7FF1-44BE-8CCA-62C94FF95445}" srcOrd="1" destOrd="0" presId="urn:microsoft.com/office/officeart/2005/8/layout/process1"/>
    <dgm:cxn modelId="{B542FCA9-6A7C-42F7-A0E9-7891D3733D9A}" type="presParOf" srcId="{F3640D9B-7FF1-44BE-8CCA-62C94FF95445}" destId="{FA9EED9C-9AAD-4785-8CB1-2B999F10B642}" srcOrd="0" destOrd="0" presId="urn:microsoft.com/office/officeart/2005/8/layout/process1"/>
    <dgm:cxn modelId="{24D418CA-D9F8-4066-B7FB-3FC627F96315}" type="presParOf" srcId="{BD2BC5CC-0F75-4003-9143-5DFF4DEBD06D}" destId="{5C2E66B6-C6C2-46DE-B50C-438F9618A88A}" srcOrd="2" destOrd="0" presId="urn:microsoft.com/office/officeart/2005/8/layout/process1"/>
    <dgm:cxn modelId="{B8EEBB07-CB1C-41C7-A3AF-F0454FFD3687}" type="presParOf" srcId="{BD2BC5CC-0F75-4003-9143-5DFF4DEBD06D}" destId="{93B3F92F-5640-4DCF-B573-914F23596E0E}" srcOrd="3" destOrd="0" presId="urn:microsoft.com/office/officeart/2005/8/layout/process1"/>
    <dgm:cxn modelId="{51883690-C05D-4531-97C1-20BC18F690F6}" type="presParOf" srcId="{93B3F92F-5640-4DCF-B573-914F23596E0E}" destId="{F483D987-F6D9-4115-8D06-D5750E5E00D4}" srcOrd="0" destOrd="0" presId="urn:microsoft.com/office/officeart/2005/8/layout/process1"/>
    <dgm:cxn modelId="{193C774D-2685-4D70-88F7-04688ABBC5F4}" type="presParOf" srcId="{BD2BC5CC-0F75-4003-9143-5DFF4DEBD06D}" destId="{56AF9C20-078B-4DC3-9AC2-6B7B1DCA3DDA}" srcOrd="4" destOrd="0" presId="urn:microsoft.com/office/officeart/2005/8/layout/process1"/>
  </dgm:cxnLst>
  <dgm:bg/>
  <dgm:whole/>
</dgm:dataModel>
</file>

<file path=word/diagrams/data2.xml><?xml version="1.0" encoding="utf-8"?>
<dgm:dataModel xmlns:dgm="http://schemas.openxmlformats.org/drawingml/2006/diagram" xmlns:a="http://schemas.openxmlformats.org/drawingml/2006/main">
  <dgm:ptLst>
    <dgm:pt modelId="{E2702130-58C9-4658-83EF-6EAB358F1FBB}" type="doc">
      <dgm:prSet loTypeId="urn:microsoft.com/office/officeart/2005/8/layout/process1" loCatId="process" qsTypeId="urn:microsoft.com/office/officeart/2005/8/quickstyle/simple3" qsCatId="simple" csTypeId="urn:microsoft.com/office/officeart/2005/8/colors/accent3_3" csCatId="accent3" phldr="1"/>
      <dgm:spPr/>
    </dgm:pt>
    <dgm:pt modelId="{EC5FD96C-48D5-4B15-B2BA-71C368693FD4}">
      <dgm:prSet phldrT="[Text]"/>
      <dgm:spPr/>
      <dgm:t>
        <a:bodyPr/>
        <a:lstStyle/>
        <a:p>
          <a:r>
            <a:rPr lang="ro-RO" b="1"/>
            <a:t>FOND DE INVESTITII</a:t>
          </a:r>
          <a:endParaRPr lang="en-US" b="1"/>
        </a:p>
      </dgm:t>
    </dgm:pt>
    <dgm:pt modelId="{E0453B05-090B-4393-AB6C-C95C0FC88767}" type="parTrans" cxnId="{C7B64121-19C2-44C5-B3F3-DD7B5D2A8250}">
      <dgm:prSet/>
      <dgm:spPr/>
      <dgm:t>
        <a:bodyPr/>
        <a:lstStyle/>
        <a:p>
          <a:endParaRPr lang="en-US"/>
        </a:p>
      </dgm:t>
    </dgm:pt>
    <dgm:pt modelId="{D4BD0A25-5BCD-43F8-A033-078BBF8E5820}" type="sibTrans" cxnId="{C7B64121-19C2-44C5-B3F3-DD7B5D2A8250}">
      <dgm:prSet/>
      <dgm:spPr/>
      <dgm:t>
        <a:bodyPr/>
        <a:lstStyle/>
        <a:p>
          <a:endParaRPr lang="en-US"/>
        </a:p>
      </dgm:t>
    </dgm:pt>
    <dgm:pt modelId="{5211C398-3300-4983-9F38-CF3403A67B30}">
      <dgm:prSet phldrT="[Text]"/>
      <dgm:spPr/>
      <dgm:t>
        <a:bodyPr/>
        <a:lstStyle/>
        <a:p>
          <a:r>
            <a:rPr lang="ro-RO" b="1"/>
            <a:t>INVESTITORI</a:t>
          </a:r>
          <a:endParaRPr lang="en-US" b="1"/>
        </a:p>
      </dgm:t>
    </dgm:pt>
    <dgm:pt modelId="{323681BD-9BAD-433F-AFBE-8DB140751573}" type="parTrans" cxnId="{3EEF1350-DA22-4854-A166-AF87137FF669}">
      <dgm:prSet/>
      <dgm:spPr/>
      <dgm:t>
        <a:bodyPr/>
        <a:lstStyle/>
        <a:p>
          <a:endParaRPr lang="en-US"/>
        </a:p>
      </dgm:t>
    </dgm:pt>
    <dgm:pt modelId="{C8B2F9D0-0E73-45AD-B232-13D779572902}" type="sibTrans" cxnId="{3EEF1350-DA22-4854-A166-AF87137FF669}">
      <dgm:prSet/>
      <dgm:spPr/>
      <dgm:t>
        <a:bodyPr/>
        <a:lstStyle/>
        <a:p>
          <a:endParaRPr lang="en-US"/>
        </a:p>
      </dgm:t>
    </dgm:pt>
    <dgm:pt modelId="{F23BF79A-F3B9-436A-8AD3-6BC681B717D0}">
      <dgm:prSet/>
      <dgm:spPr/>
      <dgm:t>
        <a:bodyPr/>
        <a:lstStyle/>
        <a:p>
          <a:r>
            <a:rPr lang="ro-RO"/>
            <a:t>subscriere şi cumpărare unitati de fond</a:t>
          </a:r>
        </a:p>
        <a:p>
          <a:r>
            <a:rPr lang="ro-RO"/>
            <a:t>Plasament investiţional</a:t>
          </a:r>
          <a:endParaRPr lang="en-US"/>
        </a:p>
      </dgm:t>
    </dgm:pt>
    <dgm:pt modelId="{27F6F8BC-F561-4EF4-9368-05E440F8360B}" type="parTrans" cxnId="{3520AB76-6486-47A3-987B-749DB7B910B9}">
      <dgm:prSet/>
      <dgm:spPr/>
      <dgm:t>
        <a:bodyPr/>
        <a:lstStyle/>
        <a:p>
          <a:endParaRPr lang="en-US"/>
        </a:p>
      </dgm:t>
    </dgm:pt>
    <dgm:pt modelId="{03C23A8C-F62B-4D1B-A807-4346AF28B7A1}" type="sibTrans" cxnId="{3520AB76-6486-47A3-987B-749DB7B910B9}">
      <dgm:prSet/>
      <dgm:spPr/>
      <dgm:t>
        <a:bodyPr/>
        <a:lstStyle/>
        <a:p>
          <a:endParaRPr lang="en-US"/>
        </a:p>
      </dgm:t>
    </dgm:pt>
    <dgm:pt modelId="{BD2BC5CC-0F75-4003-9143-5DFF4DEBD06D}" type="pres">
      <dgm:prSet presAssocID="{E2702130-58C9-4658-83EF-6EAB358F1FBB}" presName="Name0" presStyleCnt="0">
        <dgm:presLayoutVars>
          <dgm:dir/>
          <dgm:resizeHandles val="exact"/>
        </dgm:presLayoutVars>
      </dgm:prSet>
      <dgm:spPr/>
    </dgm:pt>
    <dgm:pt modelId="{6A9E7C46-ADC3-4080-A6BA-4EFBB57C1FB3}" type="pres">
      <dgm:prSet presAssocID="{EC5FD96C-48D5-4B15-B2BA-71C368693FD4}" presName="node" presStyleLbl="node1" presStyleIdx="0" presStyleCnt="3">
        <dgm:presLayoutVars>
          <dgm:bulletEnabled val="1"/>
        </dgm:presLayoutVars>
      </dgm:prSet>
      <dgm:spPr/>
      <dgm:t>
        <a:bodyPr/>
        <a:lstStyle/>
        <a:p>
          <a:endParaRPr lang="en-US"/>
        </a:p>
      </dgm:t>
    </dgm:pt>
    <dgm:pt modelId="{24F4A0C4-F90C-44B4-84B3-AF7413FCA5FA}" type="pres">
      <dgm:prSet presAssocID="{D4BD0A25-5BCD-43F8-A033-078BBF8E5820}" presName="sibTrans" presStyleLbl="sibTrans2D1" presStyleIdx="0" presStyleCnt="2" custAng="10800000"/>
      <dgm:spPr/>
      <dgm:t>
        <a:bodyPr/>
        <a:lstStyle/>
        <a:p>
          <a:endParaRPr lang="en-US"/>
        </a:p>
      </dgm:t>
    </dgm:pt>
    <dgm:pt modelId="{881DEBF5-D893-428F-938C-325CA06EC748}" type="pres">
      <dgm:prSet presAssocID="{D4BD0A25-5BCD-43F8-A033-078BBF8E5820}" presName="connectorText" presStyleLbl="sibTrans2D1" presStyleIdx="0" presStyleCnt="2"/>
      <dgm:spPr/>
      <dgm:t>
        <a:bodyPr/>
        <a:lstStyle/>
        <a:p>
          <a:endParaRPr lang="en-US"/>
        </a:p>
      </dgm:t>
    </dgm:pt>
    <dgm:pt modelId="{5AE424A6-349E-41A3-9997-F471343F04F1}" type="pres">
      <dgm:prSet presAssocID="{F23BF79A-F3B9-436A-8AD3-6BC681B717D0}" presName="node" presStyleLbl="node1" presStyleIdx="1" presStyleCnt="3">
        <dgm:presLayoutVars>
          <dgm:bulletEnabled val="1"/>
        </dgm:presLayoutVars>
      </dgm:prSet>
      <dgm:spPr/>
      <dgm:t>
        <a:bodyPr/>
        <a:lstStyle/>
        <a:p>
          <a:endParaRPr lang="en-US"/>
        </a:p>
      </dgm:t>
    </dgm:pt>
    <dgm:pt modelId="{E0E870AC-6AE4-44ED-9AC9-5A2070D21C50}" type="pres">
      <dgm:prSet presAssocID="{03C23A8C-F62B-4D1B-A807-4346AF28B7A1}" presName="sibTrans" presStyleLbl="sibTrans2D1" presStyleIdx="1" presStyleCnt="2" custAng="10800000"/>
      <dgm:spPr/>
      <dgm:t>
        <a:bodyPr/>
        <a:lstStyle/>
        <a:p>
          <a:endParaRPr lang="en-US"/>
        </a:p>
      </dgm:t>
    </dgm:pt>
    <dgm:pt modelId="{0F146077-E261-489A-9831-9A0D1454E090}" type="pres">
      <dgm:prSet presAssocID="{03C23A8C-F62B-4D1B-A807-4346AF28B7A1}" presName="connectorText" presStyleLbl="sibTrans2D1" presStyleIdx="1" presStyleCnt="2"/>
      <dgm:spPr/>
      <dgm:t>
        <a:bodyPr/>
        <a:lstStyle/>
        <a:p>
          <a:endParaRPr lang="en-US"/>
        </a:p>
      </dgm:t>
    </dgm:pt>
    <dgm:pt modelId="{56AF9C20-078B-4DC3-9AC2-6B7B1DCA3DDA}" type="pres">
      <dgm:prSet presAssocID="{5211C398-3300-4983-9F38-CF3403A67B30}" presName="node" presStyleLbl="node1" presStyleIdx="2" presStyleCnt="3">
        <dgm:presLayoutVars>
          <dgm:bulletEnabled val="1"/>
        </dgm:presLayoutVars>
      </dgm:prSet>
      <dgm:spPr/>
      <dgm:t>
        <a:bodyPr/>
        <a:lstStyle/>
        <a:p>
          <a:endParaRPr lang="en-US"/>
        </a:p>
      </dgm:t>
    </dgm:pt>
  </dgm:ptLst>
  <dgm:cxnLst>
    <dgm:cxn modelId="{CE9C5F28-BD07-43FC-9211-63E707F08A61}" type="presOf" srcId="{D4BD0A25-5BCD-43F8-A033-078BBF8E5820}" destId="{24F4A0C4-F90C-44B4-84B3-AF7413FCA5FA}" srcOrd="0" destOrd="0" presId="urn:microsoft.com/office/officeart/2005/8/layout/process1"/>
    <dgm:cxn modelId="{2F3C3F5F-C0BD-4B92-AF13-70FE730D4FEC}" type="presOf" srcId="{F23BF79A-F3B9-436A-8AD3-6BC681B717D0}" destId="{5AE424A6-349E-41A3-9997-F471343F04F1}" srcOrd="0" destOrd="0" presId="urn:microsoft.com/office/officeart/2005/8/layout/process1"/>
    <dgm:cxn modelId="{3520AB76-6486-47A3-987B-749DB7B910B9}" srcId="{E2702130-58C9-4658-83EF-6EAB358F1FBB}" destId="{F23BF79A-F3B9-436A-8AD3-6BC681B717D0}" srcOrd="1" destOrd="0" parTransId="{27F6F8BC-F561-4EF4-9368-05E440F8360B}" sibTransId="{03C23A8C-F62B-4D1B-A807-4346AF28B7A1}"/>
    <dgm:cxn modelId="{3EEF1350-DA22-4854-A166-AF87137FF669}" srcId="{E2702130-58C9-4658-83EF-6EAB358F1FBB}" destId="{5211C398-3300-4983-9F38-CF3403A67B30}" srcOrd="2" destOrd="0" parTransId="{323681BD-9BAD-433F-AFBE-8DB140751573}" sibTransId="{C8B2F9D0-0E73-45AD-B232-13D779572902}"/>
    <dgm:cxn modelId="{23C10DFE-2F2F-43FB-879A-81F16DE13A08}" type="presOf" srcId="{EC5FD96C-48D5-4B15-B2BA-71C368693FD4}" destId="{6A9E7C46-ADC3-4080-A6BA-4EFBB57C1FB3}" srcOrd="0" destOrd="0" presId="urn:microsoft.com/office/officeart/2005/8/layout/process1"/>
    <dgm:cxn modelId="{55B105E1-C366-438E-BBAA-3B6688468E7B}" type="presOf" srcId="{03C23A8C-F62B-4D1B-A807-4346AF28B7A1}" destId="{0F146077-E261-489A-9831-9A0D1454E090}" srcOrd="1" destOrd="0" presId="urn:microsoft.com/office/officeart/2005/8/layout/process1"/>
    <dgm:cxn modelId="{0CBE0B26-DF32-40BD-AE48-2CAB809B89AF}" type="presOf" srcId="{5211C398-3300-4983-9F38-CF3403A67B30}" destId="{56AF9C20-078B-4DC3-9AC2-6B7B1DCA3DDA}" srcOrd="0" destOrd="0" presId="urn:microsoft.com/office/officeart/2005/8/layout/process1"/>
    <dgm:cxn modelId="{37117519-A002-426D-B3F7-D55B11CF578B}" type="presOf" srcId="{E2702130-58C9-4658-83EF-6EAB358F1FBB}" destId="{BD2BC5CC-0F75-4003-9143-5DFF4DEBD06D}" srcOrd="0" destOrd="0" presId="urn:microsoft.com/office/officeart/2005/8/layout/process1"/>
    <dgm:cxn modelId="{C7B64121-19C2-44C5-B3F3-DD7B5D2A8250}" srcId="{E2702130-58C9-4658-83EF-6EAB358F1FBB}" destId="{EC5FD96C-48D5-4B15-B2BA-71C368693FD4}" srcOrd="0" destOrd="0" parTransId="{E0453B05-090B-4393-AB6C-C95C0FC88767}" sibTransId="{D4BD0A25-5BCD-43F8-A033-078BBF8E5820}"/>
    <dgm:cxn modelId="{B8660DA5-6840-4B55-B83E-52A63BAFB0F6}" type="presOf" srcId="{D4BD0A25-5BCD-43F8-A033-078BBF8E5820}" destId="{881DEBF5-D893-428F-938C-325CA06EC748}" srcOrd="1" destOrd="0" presId="urn:microsoft.com/office/officeart/2005/8/layout/process1"/>
    <dgm:cxn modelId="{C0516CC9-82F2-4B8A-BFF6-EA50F7F80483}" type="presOf" srcId="{03C23A8C-F62B-4D1B-A807-4346AF28B7A1}" destId="{E0E870AC-6AE4-44ED-9AC9-5A2070D21C50}" srcOrd="0" destOrd="0" presId="urn:microsoft.com/office/officeart/2005/8/layout/process1"/>
    <dgm:cxn modelId="{B4C6E4EB-43C9-4D45-A8D9-99E95FBC7E92}" type="presParOf" srcId="{BD2BC5CC-0F75-4003-9143-5DFF4DEBD06D}" destId="{6A9E7C46-ADC3-4080-A6BA-4EFBB57C1FB3}" srcOrd="0" destOrd="0" presId="urn:microsoft.com/office/officeart/2005/8/layout/process1"/>
    <dgm:cxn modelId="{56863089-FA8D-4439-8C7B-23682548B992}" type="presParOf" srcId="{BD2BC5CC-0F75-4003-9143-5DFF4DEBD06D}" destId="{24F4A0C4-F90C-44B4-84B3-AF7413FCA5FA}" srcOrd="1" destOrd="0" presId="urn:microsoft.com/office/officeart/2005/8/layout/process1"/>
    <dgm:cxn modelId="{B6651364-6F11-4AB9-8E65-1C2756F4CF0B}" type="presParOf" srcId="{24F4A0C4-F90C-44B4-84B3-AF7413FCA5FA}" destId="{881DEBF5-D893-428F-938C-325CA06EC748}" srcOrd="0" destOrd="0" presId="urn:microsoft.com/office/officeart/2005/8/layout/process1"/>
    <dgm:cxn modelId="{D6D41E1E-0331-4E44-9DA8-ED6FCF60D7BD}" type="presParOf" srcId="{BD2BC5CC-0F75-4003-9143-5DFF4DEBD06D}" destId="{5AE424A6-349E-41A3-9997-F471343F04F1}" srcOrd="2" destOrd="0" presId="urn:microsoft.com/office/officeart/2005/8/layout/process1"/>
    <dgm:cxn modelId="{0F6D7637-73AB-4753-A7EE-C2F6E0BE7EED}" type="presParOf" srcId="{BD2BC5CC-0F75-4003-9143-5DFF4DEBD06D}" destId="{E0E870AC-6AE4-44ED-9AC9-5A2070D21C50}" srcOrd="3" destOrd="0" presId="urn:microsoft.com/office/officeart/2005/8/layout/process1"/>
    <dgm:cxn modelId="{87C637F1-D43A-4FB0-AE67-5FDBA146B91A}" type="presParOf" srcId="{E0E870AC-6AE4-44ED-9AC9-5A2070D21C50}" destId="{0F146077-E261-489A-9831-9A0D1454E090}" srcOrd="0" destOrd="0" presId="urn:microsoft.com/office/officeart/2005/8/layout/process1"/>
    <dgm:cxn modelId="{1B2C59D4-A66D-4C17-8104-063AFE8C8436}" type="presParOf" srcId="{BD2BC5CC-0F75-4003-9143-5DFF4DEBD06D}" destId="{56AF9C20-078B-4DC3-9AC2-6B7B1DCA3DDA}" srcOrd="4" destOrd="0" presId="urn:microsoft.com/office/officeart/2005/8/layout/process1"/>
  </dgm:cxnLst>
  <dgm:bg/>
  <dgm:whole/>
</dgm:dataModel>
</file>

<file path=word/diagrams/data3.xml><?xml version="1.0" encoding="utf-8"?>
<dgm:dataModel xmlns:dgm="http://schemas.openxmlformats.org/drawingml/2006/diagram" xmlns:a="http://schemas.openxmlformats.org/drawingml/2006/main">
  <dgm:ptLst>
    <dgm:pt modelId="{E2702130-58C9-4658-83EF-6EAB358F1FBB}" type="doc">
      <dgm:prSet loTypeId="urn:microsoft.com/office/officeart/2005/8/layout/process1" loCatId="process" qsTypeId="urn:microsoft.com/office/officeart/2005/8/quickstyle/simple3" qsCatId="simple" csTypeId="urn:microsoft.com/office/officeart/2005/8/colors/accent3_3" csCatId="accent3" phldr="1"/>
      <dgm:spPr/>
    </dgm:pt>
    <dgm:pt modelId="{EC5FD96C-48D5-4B15-B2BA-71C368693FD4}">
      <dgm:prSet phldrT="[Text]"/>
      <dgm:spPr/>
      <dgm:t>
        <a:bodyPr/>
        <a:lstStyle/>
        <a:p>
          <a:r>
            <a:rPr lang="ro-RO" b="1"/>
            <a:t>RESURSE FOND </a:t>
          </a:r>
          <a:endParaRPr lang="en-US" b="1"/>
        </a:p>
      </dgm:t>
    </dgm:pt>
    <dgm:pt modelId="{E0453B05-090B-4393-AB6C-C95C0FC88767}" type="parTrans" cxnId="{C7B64121-19C2-44C5-B3F3-DD7B5D2A8250}">
      <dgm:prSet/>
      <dgm:spPr/>
      <dgm:t>
        <a:bodyPr/>
        <a:lstStyle/>
        <a:p>
          <a:endParaRPr lang="en-US"/>
        </a:p>
      </dgm:t>
    </dgm:pt>
    <dgm:pt modelId="{D4BD0A25-5BCD-43F8-A033-078BBF8E5820}" type="sibTrans" cxnId="{C7B64121-19C2-44C5-B3F3-DD7B5D2A8250}">
      <dgm:prSet/>
      <dgm:spPr/>
      <dgm:t>
        <a:bodyPr/>
        <a:lstStyle/>
        <a:p>
          <a:endParaRPr lang="en-US"/>
        </a:p>
      </dgm:t>
    </dgm:pt>
    <dgm:pt modelId="{09D24D36-C54B-4133-B020-96A604BE93E4}">
      <dgm:prSet phldrT="[Text]"/>
      <dgm:spPr/>
      <dgm:t>
        <a:bodyPr/>
        <a:lstStyle/>
        <a:p>
          <a:r>
            <a:rPr lang="ro-RO" b="1"/>
            <a:t>STRATEGIE INVESTITIONALA</a:t>
          </a:r>
          <a:endParaRPr lang="en-US" b="1"/>
        </a:p>
      </dgm:t>
    </dgm:pt>
    <dgm:pt modelId="{776041A7-C052-4F09-82A2-9A87CF72CC20}" type="parTrans" cxnId="{1E422FCE-024B-4255-B27A-7F0843E8E9EF}">
      <dgm:prSet/>
      <dgm:spPr/>
      <dgm:t>
        <a:bodyPr/>
        <a:lstStyle/>
        <a:p>
          <a:endParaRPr lang="en-US"/>
        </a:p>
      </dgm:t>
    </dgm:pt>
    <dgm:pt modelId="{3552EF33-9CDE-4511-89ED-A409F743772B}" type="sibTrans" cxnId="{1E422FCE-024B-4255-B27A-7F0843E8E9EF}">
      <dgm:prSet/>
      <dgm:spPr/>
      <dgm:t>
        <a:bodyPr/>
        <a:lstStyle/>
        <a:p>
          <a:endParaRPr lang="en-US"/>
        </a:p>
      </dgm:t>
    </dgm:pt>
    <dgm:pt modelId="{5211C398-3300-4983-9F38-CF3403A67B30}">
      <dgm:prSet phldrT="[Text]"/>
      <dgm:spPr/>
      <dgm:t>
        <a:bodyPr/>
        <a:lstStyle/>
        <a:p>
          <a:r>
            <a:rPr lang="ro-RO" b="1"/>
            <a:t>COMPANII </a:t>
          </a:r>
        </a:p>
        <a:p>
          <a:r>
            <a:rPr lang="ro-RO" b="1"/>
            <a:t>(DE PORTOFOLIU)</a:t>
          </a:r>
          <a:endParaRPr lang="en-US" b="1"/>
        </a:p>
      </dgm:t>
    </dgm:pt>
    <dgm:pt modelId="{323681BD-9BAD-433F-AFBE-8DB140751573}" type="parTrans" cxnId="{3EEF1350-DA22-4854-A166-AF87137FF669}">
      <dgm:prSet/>
      <dgm:spPr/>
      <dgm:t>
        <a:bodyPr/>
        <a:lstStyle/>
        <a:p>
          <a:endParaRPr lang="en-US"/>
        </a:p>
      </dgm:t>
    </dgm:pt>
    <dgm:pt modelId="{C8B2F9D0-0E73-45AD-B232-13D779572902}" type="sibTrans" cxnId="{3EEF1350-DA22-4854-A166-AF87137FF669}">
      <dgm:prSet/>
      <dgm:spPr/>
      <dgm:t>
        <a:bodyPr/>
        <a:lstStyle/>
        <a:p>
          <a:endParaRPr lang="en-US"/>
        </a:p>
      </dgm:t>
    </dgm:pt>
    <dgm:pt modelId="{FE0E19B1-1708-43EC-9D05-690437B2DE11}">
      <dgm:prSet/>
      <dgm:spPr/>
      <dgm:t>
        <a:bodyPr/>
        <a:lstStyle/>
        <a:p>
          <a:r>
            <a:rPr lang="ro-RO" b="1"/>
            <a:t>TITLURI FINANCIARE</a:t>
          </a:r>
        </a:p>
        <a:p>
          <a:r>
            <a:rPr lang="ro-RO" b="1"/>
            <a:t>INSTRUMENTE</a:t>
          </a:r>
          <a:endParaRPr lang="en-US" b="1"/>
        </a:p>
      </dgm:t>
    </dgm:pt>
    <dgm:pt modelId="{3D0B131C-5A54-4677-AFB9-5C6F7C80D31B}" type="parTrans" cxnId="{F1BEF7B3-7142-45BD-BCD1-AE3D2A028C1E}">
      <dgm:prSet/>
      <dgm:spPr/>
      <dgm:t>
        <a:bodyPr/>
        <a:lstStyle/>
        <a:p>
          <a:endParaRPr lang="en-US"/>
        </a:p>
      </dgm:t>
    </dgm:pt>
    <dgm:pt modelId="{82208765-11D8-4B5A-948F-FA18978A12C6}" type="sibTrans" cxnId="{F1BEF7B3-7142-45BD-BCD1-AE3D2A028C1E}">
      <dgm:prSet/>
      <dgm:spPr/>
      <dgm:t>
        <a:bodyPr/>
        <a:lstStyle/>
        <a:p>
          <a:endParaRPr lang="en-US"/>
        </a:p>
      </dgm:t>
    </dgm:pt>
    <dgm:pt modelId="{BD2BC5CC-0F75-4003-9143-5DFF4DEBD06D}" type="pres">
      <dgm:prSet presAssocID="{E2702130-58C9-4658-83EF-6EAB358F1FBB}" presName="Name0" presStyleCnt="0">
        <dgm:presLayoutVars>
          <dgm:dir/>
          <dgm:resizeHandles val="exact"/>
        </dgm:presLayoutVars>
      </dgm:prSet>
      <dgm:spPr/>
    </dgm:pt>
    <dgm:pt modelId="{6A9E7C46-ADC3-4080-A6BA-4EFBB57C1FB3}" type="pres">
      <dgm:prSet presAssocID="{EC5FD96C-48D5-4B15-B2BA-71C368693FD4}" presName="node" presStyleLbl="node1" presStyleIdx="0" presStyleCnt="4">
        <dgm:presLayoutVars>
          <dgm:bulletEnabled val="1"/>
        </dgm:presLayoutVars>
      </dgm:prSet>
      <dgm:spPr/>
      <dgm:t>
        <a:bodyPr/>
        <a:lstStyle/>
        <a:p>
          <a:endParaRPr lang="en-US"/>
        </a:p>
      </dgm:t>
    </dgm:pt>
    <dgm:pt modelId="{24F4A0C4-F90C-44B4-84B3-AF7413FCA5FA}" type="pres">
      <dgm:prSet presAssocID="{D4BD0A25-5BCD-43F8-A033-078BBF8E5820}" presName="sibTrans" presStyleLbl="sibTrans2D1" presStyleIdx="0" presStyleCnt="3"/>
      <dgm:spPr/>
      <dgm:t>
        <a:bodyPr/>
        <a:lstStyle/>
        <a:p>
          <a:endParaRPr lang="en-US"/>
        </a:p>
      </dgm:t>
    </dgm:pt>
    <dgm:pt modelId="{881DEBF5-D893-428F-938C-325CA06EC748}" type="pres">
      <dgm:prSet presAssocID="{D4BD0A25-5BCD-43F8-A033-078BBF8E5820}" presName="connectorText" presStyleLbl="sibTrans2D1" presStyleIdx="0" presStyleCnt="3"/>
      <dgm:spPr/>
      <dgm:t>
        <a:bodyPr/>
        <a:lstStyle/>
        <a:p>
          <a:endParaRPr lang="en-US"/>
        </a:p>
      </dgm:t>
    </dgm:pt>
    <dgm:pt modelId="{6A5EF006-EF51-4E27-B6AC-714034CEE4A4}" type="pres">
      <dgm:prSet presAssocID="{09D24D36-C54B-4133-B020-96A604BE93E4}" presName="node" presStyleLbl="node1" presStyleIdx="1" presStyleCnt="4">
        <dgm:presLayoutVars>
          <dgm:bulletEnabled val="1"/>
        </dgm:presLayoutVars>
      </dgm:prSet>
      <dgm:spPr/>
      <dgm:t>
        <a:bodyPr/>
        <a:lstStyle/>
        <a:p>
          <a:endParaRPr lang="en-US"/>
        </a:p>
      </dgm:t>
    </dgm:pt>
    <dgm:pt modelId="{F3640D9B-7FF1-44BE-8CCA-62C94FF95445}" type="pres">
      <dgm:prSet presAssocID="{3552EF33-9CDE-4511-89ED-A409F743772B}" presName="sibTrans" presStyleLbl="sibTrans2D1" presStyleIdx="1" presStyleCnt="3"/>
      <dgm:spPr/>
      <dgm:t>
        <a:bodyPr/>
        <a:lstStyle/>
        <a:p>
          <a:endParaRPr lang="en-US"/>
        </a:p>
      </dgm:t>
    </dgm:pt>
    <dgm:pt modelId="{FA9EED9C-9AAD-4785-8CB1-2B999F10B642}" type="pres">
      <dgm:prSet presAssocID="{3552EF33-9CDE-4511-89ED-A409F743772B}" presName="connectorText" presStyleLbl="sibTrans2D1" presStyleIdx="1" presStyleCnt="3"/>
      <dgm:spPr/>
      <dgm:t>
        <a:bodyPr/>
        <a:lstStyle/>
        <a:p>
          <a:endParaRPr lang="en-US"/>
        </a:p>
      </dgm:t>
    </dgm:pt>
    <dgm:pt modelId="{5C2E66B6-C6C2-46DE-B50C-438F9618A88A}" type="pres">
      <dgm:prSet presAssocID="{FE0E19B1-1708-43EC-9D05-690437B2DE11}" presName="node" presStyleLbl="node1" presStyleIdx="2" presStyleCnt="4">
        <dgm:presLayoutVars>
          <dgm:bulletEnabled val="1"/>
        </dgm:presLayoutVars>
      </dgm:prSet>
      <dgm:spPr/>
      <dgm:t>
        <a:bodyPr/>
        <a:lstStyle/>
        <a:p>
          <a:endParaRPr lang="en-US"/>
        </a:p>
      </dgm:t>
    </dgm:pt>
    <dgm:pt modelId="{93B3F92F-5640-4DCF-B573-914F23596E0E}" type="pres">
      <dgm:prSet presAssocID="{82208765-11D8-4B5A-948F-FA18978A12C6}" presName="sibTrans" presStyleLbl="sibTrans2D1" presStyleIdx="2" presStyleCnt="3"/>
      <dgm:spPr/>
      <dgm:t>
        <a:bodyPr/>
        <a:lstStyle/>
        <a:p>
          <a:endParaRPr lang="en-US"/>
        </a:p>
      </dgm:t>
    </dgm:pt>
    <dgm:pt modelId="{F483D987-F6D9-4115-8D06-D5750E5E00D4}" type="pres">
      <dgm:prSet presAssocID="{82208765-11D8-4B5A-948F-FA18978A12C6}" presName="connectorText" presStyleLbl="sibTrans2D1" presStyleIdx="2" presStyleCnt="3"/>
      <dgm:spPr/>
      <dgm:t>
        <a:bodyPr/>
        <a:lstStyle/>
        <a:p>
          <a:endParaRPr lang="en-US"/>
        </a:p>
      </dgm:t>
    </dgm:pt>
    <dgm:pt modelId="{56AF9C20-078B-4DC3-9AC2-6B7B1DCA3DDA}" type="pres">
      <dgm:prSet presAssocID="{5211C398-3300-4983-9F38-CF3403A67B30}" presName="node" presStyleLbl="node1" presStyleIdx="3" presStyleCnt="4">
        <dgm:presLayoutVars>
          <dgm:bulletEnabled val="1"/>
        </dgm:presLayoutVars>
      </dgm:prSet>
      <dgm:spPr/>
      <dgm:t>
        <a:bodyPr/>
        <a:lstStyle/>
        <a:p>
          <a:endParaRPr lang="en-US"/>
        </a:p>
      </dgm:t>
    </dgm:pt>
  </dgm:ptLst>
  <dgm:cxnLst>
    <dgm:cxn modelId="{F1BEF7B3-7142-45BD-BCD1-AE3D2A028C1E}" srcId="{E2702130-58C9-4658-83EF-6EAB358F1FBB}" destId="{FE0E19B1-1708-43EC-9D05-690437B2DE11}" srcOrd="2" destOrd="0" parTransId="{3D0B131C-5A54-4677-AFB9-5C6F7C80D31B}" sibTransId="{82208765-11D8-4B5A-948F-FA18978A12C6}"/>
    <dgm:cxn modelId="{5D05E2E0-347F-4DFF-8EB3-32D052E22749}" type="presOf" srcId="{FE0E19B1-1708-43EC-9D05-690437B2DE11}" destId="{5C2E66B6-C6C2-46DE-B50C-438F9618A88A}" srcOrd="0" destOrd="0" presId="urn:microsoft.com/office/officeart/2005/8/layout/process1"/>
    <dgm:cxn modelId="{B9F2B449-87DF-4C4E-A6CB-813A2BEC5744}" type="presOf" srcId="{5211C398-3300-4983-9F38-CF3403A67B30}" destId="{56AF9C20-078B-4DC3-9AC2-6B7B1DCA3DDA}" srcOrd="0" destOrd="0" presId="urn:microsoft.com/office/officeart/2005/8/layout/process1"/>
    <dgm:cxn modelId="{626B8914-82D7-4437-AA90-3D7E6BD7BE44}" type="presOf" srcId="{EC5FD96C-48D5-4B15-B2BA-71C368693FD4}" destId="{6A9E7C46-ADC3-4080-A6BA-4EFBB57C1FB3}" srcOrd="0" destOrd="0" presId="urn:microsoft.com/office/officeart/2005/8/layout/process1"/>
    <dgm:cxn modelId="{C41BE928-5BC5-40D0-BE57-29F3CEB347E2}" type="presOf" srcId="{82208765-11D8-4B5A-948F-FA18978A12C6}" destId="{F483D987-F6D9-4115-8D06-D5750E5E00D4}" srcOrd="1" destOrd="0" presId="urn:microsoft.com/office/officeart/2005/8/layout/process1"/>
    <dgm:cxn modelId="{1E422FCE-024B-4255-B27A-7F0843E8E9EF}" srcId="{E2702130-58C9-4658-83EF-6EAB358F1FBB}" destId="{09D24D36-C54B-4133-B020-96A604BE93E4}" srcOrd="1" destOrd="0" parTransId="{776041A7-C052-4F09-82A2-9A87CF72CC20}" sibTransId="{3552EF33-9CDE-4511-89ED-A409F743772B}"/>
    <dgm:cxn modelId="{956534F6-50A1-42FA-B2FE-4546B007A240}" type="presOf" srcId="{D4BD0A25-5BCD-43F8-A033-078BBF8E5820}" destId="{24F4A0C4-F90C-44B4-84B3-AF7413FCA5FA}" srcOrd="0" destOrd="0" presId="urn:microsoft.com/office/officeart/2005/8/layout/process1"/>
    <dgm:cxn modelId="{C7B64121-19C2-44C5-B3F3-DD7B5D2A8250}" srcId="{E2702130-58C9-4658-83EF-6EAB358F1FBB}" destId="{EC5FD96C-48D5-4B15-B2BA-71C368693FD4}" srcOrd="0" destOrd="0" parTransId="{E0453B05-090B-4393-AB6C-C95C0FC88767}" sibTransId="{D4BD0A25-5BCD-43F8-A033-078BBF8E5820}"/>
    <dgm:cxn modelId="{EABC7900-1AFD-4299-B5BF-5F1DD905832E}" type="presOf" srcId="{3552EF33-9CDE-4511-89ED-A409F743772B}" destId="{F3640D9B-7FF1-44BE-8CCA-62C94FF95445}" srcOrd="0" destOrd="0" presId="urn:microsoft.com/office/officeart/2005/8/layout/process1"/>
    <dgm:cxn modelId="{F973D293-C031-44D0-8B8B-C144B4875D58}" type="presOf" srcId="{82208765-11D8-4B5A-948F-FA18978A12C6}" destId="{93B3F92F-5640-4DCF-B573-914F23596E0E}" srcOrd="0" destOrd="0" presId="urn:microsoft.com/office/officeart/2005/8/layout/process1"/>
    <dgm:cxn modelId="{4B17FED7-EC43-4046-B18B-1FC0EDB75E89}" type="presOf" srcId="{D4BD0A25-5BCD-43F8-A033-078BBF8E5820}" destId="{881DEBF5-D893-428F-938C-325CA06EC748}" srcOrd="1" destOrd="0" presId="urn:microsoft.com/office/officeart/2005/8/layout/process1"/>
    <dgm:cxn modelId="{3EEF1350-DA22-4854-A166-AF87137FF669}" srcId="{E2702130-58C9-4658-83EF-6EAB358F1FBB}" destId="{5211C398-3300-4983-9F38-CF3403A67B30}" srcOrd="3" destOrd="0" parTransId="{323681BD-9BAD-433F-AFBE-8DB140751573}" sibTransId="{C8B2F9D0-0E73-45AD-B232-13D779572902}"/>
    <dgm:cxn modelId="{B281E0F6-D747-4A57-9543-EFE61ADF3FEF}" type="presOf" srcId="{09D24D36-C54B-4133-B020-96A604BE93E4}" destId="{6A5EF006-EF51-4E27-B6AC-714034CEE4A4}" srcOrd="0" destOrd="0" presId="urn:microsoft.com/office/officeart/2005/8/layout/process1"/>
    <dgm:cxn modelId="{C884C82E-3D7D-4AC5-B7BE-600B8756F103}" type="presOf" srcId="{3552EF33-9CDE-4511-89ED-A409F743772B}" destId="{FA9EED9C-9AAD-4785-8CB1-2B999F10B642}" srcOrd="1" destOrd="0" presId="urn:microsoft.com/office/officeart/2005/8/layout/process1"/>
    <dgm:cxn modelId="{F4B22420-E953-42EC-9CB5-2866272B0512}" type="presOf" srcId="{E2702130-58C9-4658-83EF-6EAB358F1FBB}" destId="{BD2BC5CC-0F75-4003-9143-5DFF4DEBD06D}" srcOrd="0" destOrd="0" presId="urn:microsoft.com/office/officeart/2005/8/layout/process1"/>
    <dgm:cxn modelId="{688AC1C9-9675-4F9B-AA10-F841ED2DEA18}" type="presParOf" srcId="{BD2BC5CC-0F75-4003-9143-5DFF4DEBD06D}" destId="{6A9E7C46-ADC3-4080-A6BA-4EFBB57C1FB3}" srcOrd="0" destOrd="0" presId="urn:microsoft.com/office/officeart/2005/8/layout/process1"/>
    <dgm:cxn modelId="{D8DB339B-515E-4F24-9188-DAB35DC86C2D}" type="presParOf" srcId="{BD2BC5CC-0F75-4003-9143-5DFF4DEBD06D}" destId="{24F4A0C4-F90C-44B4-84B3-AF7413FCA5FA}" srcOrd="1" destOrd="0" presId="urn:microsoft.com/office/officeart/2005/8/layout/process1"/>
    <dgm:cxn modelId="{F32E085F-4497-4EF9-8C0D-7B4EBF5FAF2C}" type="presParOf" srcId="{24F4A0C4-F90C-44B4-84B3-AF7413FCA5FA}" destId="{881DEBF5-D893-428F-938C-325CA06EC748}" srcOrd="0" destOrd="0" presId="urn:microsoft.com/office/officeart/2005/8/layout/process1"/>
    <dgm:cxn modelId="{50624D5F-3DAB-4503-AF97-9933280DB5BE}" type="presParOf" srcId="{BD2BC5CC-0F75-4003-9143-5DFF4DEBD06D}" destId="{6A5EF006-EF51-4E27-B6AC-714034CEE4A4}" srcOrd="2" destOrd="0" presId="urn:microsoft.com/office/officeart/2005/8/layout/process1"/>
    <dgm:cxn modelId="{1EDFA7E5-AAA6-43D8-852C-1B56E92D7459}" type="presParOf" srcId="{BD2BC5CC-0F75-4003-9143-5DFF4DEBD06D}" destId="{F3640D9B-7FF1-44BE-8CCA-62C94FF95445}" srcOrd="3" destOrd="0" presId="urn:microsoft.com/office/officeart/2005/8/layout/process1"/>
    <dgm:cxn modelId="{B67EDF8A-AC00-4B6F-ACE7-637898313DAF}" type="presParOf" srcId="{F3640D9B-7FF1-44BE-8CCA-62C94FF95445}" destId="{FA9EED9C-9AAD-4785-8CB1-2B999F10B642}" srcOrd="0" destOrd="0" presId="urn:microsoft.com/office/officeart/2005/8/layout/process1"/>
    <dgm:cxn modelId="{E27C79D3-D6CC-413F-A15B-3A3559EFFAF2}" type="presParOf" srcId="{BD2BC5CC-0F75-4003-9143-5DFF4DEBD06D}" destId="{5C2E66B6-C6C2-46DE-B50C-438F9618A88A}" srcOrd="4" destOrd="0" presId="urn:microsoft.com/office/officeart/2005/8/layout/process1"/>
    <dgm:cxn modelId="{A5516938-F47F-4873-AFDD-D07154EEB093}" type="presParOf" srcId="{BD2BC5CC-0F75-4003-9143-5DFF4DEBD06D}" destId="{93B3F92F-5640-4DCF-B573-914F23596E0E}" srcOrd="5" destOrd="0" presId="urn:microsoft.com/office/officeart/2005/8/layout/process1"/>
    <dgm:cxn modelId="{F646A892-178D-4DCE-A130-BC120591C3CC}" type="presParOf" srcId="{93B3F92F-5640-4DCF-B573-914F23596E0E}" destId="{F483D987-F6D9-4115-8D06-D5750E5E00D4}" srcOrd="0" destOrd="0" presId="urn:microsoft.com/office/officeart/2005/8/layout/process1"/>
    <dgm:cxn modelId="{3A565221-2401-4279-9310-EE43D70F72D2}" type="presParOf" srcId="{BD2BC5CC-0F75-4003-9143-5DFF4DEBD06D}" destId="{56AF9C20-078B-4DC3-9AC2-6B7B1DCA3DDA}" srcOrd="6" destOrd="0" presId="urn:microsoft.com/office/officeart/2005/8/layout/process1"/>
  </dgm:cxnLst>
  <dgm:bg/>
  <dgm:whole/>
</dgm:dataModel>
</file>

<file path=word/diagrams/data4.xml><?xml version="1.0" encoding="utf-8"?>
<dgm:dataModel xmlns:dgm="http://schemas.openxmlformats.org/drawingml/2006/diagram" xmlns:a="http://schemas.openxmlformats.org/drawingml/2006/main">
  <dgm:ptLst>
    <dgm:pt modelId="{E2702130-58C9-4658-83EF-6EAB358F1FBB}" type="doc">
      <dgm:prSet loTypeId="urn:microsoft.com/office/officeart/2005/8/layout/process1" loCatId="process" qsTypeId="urn:microsoft.com/office/officeart/2005/8/quickstyle/simple3" qsCatId="simple" csTypeId="urn:microsoft.com/office/officeart/2005/8/colors/accent3_3" csCatId="accent3" phldr="1"/>
      <dgm:spPr/>
    </dgm:pt>
    <dgm:pt modelId="{EC5FD96C-48D5-4B15-B2BA-71C368693FD4}">
      <dgm:prSet phldrT="[Text]" custT="1"/>
      <dgm:spPr/>
      <dgm:t>
        <a:bodyPr/>
        <a:lstStyle/>
        <a:p>
          <a:r>
            <a:rPr lang="ro-RO" sz="1000" b="1"/>
            <a:t>REÎNTREGIREA PORTOFOLIULUI FONDULUI</a:t>
          </a:r>
          <a:endParaRPr lang="en-US" sz="1000" b="1"/>
        </a:p>
      </dgm:t>
    </dgm:pt>
    <dgm:pt modelId="{E0453B05-090B-4393-AB6C-C95C0FC88767}" type="parTrans" cxnId="{C7B64121-19C2-44C5-B3F3-DD7B5D2A8250}">
      <dgm:prSet/>
      <dgm:spPr/>
      <dgm:t>
        <a:bodyPr/>
        <a:lstStyle/>
        <a:p>
          <a:endParaRPr lang="en-US"/>
        </a:p>
      </dgm:t>
    </dgm:pt>
    <dgm:pt modelId="{D4BD0A25-5BCD-43F8-A033-078BBF8E5820}" type="sibTrans" cxnId="{C7B64121-19C2-44C5-B3F3-DD7B5D2A8250}">
      <dgm:prSet/>
      <dgm:spPr/>
      <dgm:t>
        <a:bodyPr/>
        <a:lstStyle/>
        <a:p>
          <a:endParaRPr lang="en-US"/>
        </a:p>
      </dgm:t>
    </dgm:pt>
    <dgm:pt modelId="{5211C398-3300-4983-9F38-CF3403A67B30}">
      <dgm:prSet phldrT="[Text]" custT="1"/>
      <dgm:spPr/>
      <dgm:t>
        <a:bodyPr/>
        <a:lstStyle/>
        <a:p>
          <a:r>
            <a:rPr lang="ro-RO" sz="1000" b="1"/>
            <a:t>COMPANII </a:t>
          </a:r>
        </a:p>
        <a:p>
          <a:r>
            <a:rPr lang="ro-RO" sz="1000" b="1"/>
            <a:t>(DE PORTOFOLIU)</a:t>
          </a:r>
          <a:endParaRPr lang="en-US" sz="1000" b="1"/>
        </a:p>
      </dgm:t>
    </dgm:pt>
    <dgm:pt modelId="{323681BD-9BAD-433F-AFBE-8DB140751573}" type="parTrans" cxnId="{3EEF1350-DA22-4854-A166-AF87137FF669}">
      <dgm:prSet/>
      <dgm:spPr/>
      <dgm:t>
        <a:bodyPr/>
        <a:lstStyle/>
        <a:p>
          <a:endParaRPr lang="en-US"/>
        </a:p>
      </dgm:t>
    </dgm:pt>
    <dgm:pt modelId="{C8B2F9D0-0E73-45AD-B232-13D779572902}" type="sibTrans" cxnId="{3EEF1350-DA22-4854-A166-AF87137FF669}">
      <dgm:prSet/>
      <dgm:spPr/>
      <dgm:t>
        <a:bodyPr/>
        <a:lstStyle/>
        <a:p>
          <a:endParaRPr lang="en-US"/>
        </a:p>
      </dgm:t>
    </dgm:pt>
    <dgm:pt modelId="{F23BF79A-F3B9-436A-8AD3-6BC681B717D0}">
      <dgm:prSet custT="1"/>
      <dgm:spPr/>
      <dgm:t>
        <a:bodyPr/>
        <a:lstStyle/>
        <a:p>
          <a:r>
            <a:rPr lang="ro-RO" sz="1000"/>
            <a:t>RĂSCUMPARARE</a:t>
          </a:r>
          <a:endParaRPr lang="en-US" sz="1000"/>
        </a:p>
      </dgm:t>
    </dgm:pt>
    <dgm:pt modelId="{27F6F8BC-F561-4EF4-9368-05E440F8360B}" type="parTrans" cxnId="{3520AB76-6486-47A3-987B-749DB7B910B9}">
      <dgm:prSet/>
      <dgm:spPr/>
      <dgm:t>
        <a:bodyPr/>
        <a:lstStyle/>
        <a:p>
          <a:endParaRPr lang="en-US"/>
        </a:p>
      </dgm:t>
    </dgm:pt>
    <dgm:pt modelId="{03C23A8C-F62B-4D1B-A807-4346AF28B7A1}" type="sibTrans" cxnId="{3520AB76-6486-47A3-987B-749DB7B910B9}">
      <dgm:prSet/>
      <dgm:spPr/>
      <dgm:t>
        <a:bodyPr/>
        <a:lstStyle/>
        <a:p>
          <a:endParaRPr lang="en-US"/>
        </a:p>
      </dgm:t>
    </dgm:pt>
    <dgm:pt modelId="{BD2BC5CC-0F75-4003-9143-5DFF4DEBD06D}" type="pres">
      <dgm:prSet presAssocID="{E2702130-58C9-4658-83EF-6EAB358F1FBB}" presName="Name0" presStyleCnt="0">
        <dgm:presLayoutVars>
          <dgm:dir/>
          <dgm:resizeHandles val="exact"/>
        </dgm:presLayoutVars>
      </dgm:prSet>
      <dgm:spPr/>
    </dgm:pt>
    <dgm:pt modelId="{6A9E7C46-ADC3-4080-A6BA-4EFBB57C1FB3}" type="pres">
      <dgm:prSet presAssocID="{EC5FD96C-48D5-4B15-B2BA-71C368693FD4}" presName="node" presStyleLbl="node1" presStyleIdx="0" presStyleCnt="3" custLinFactNeighborX="2289">
        <dgm:presLayoutVars>
          <dgm:bulletEnabled val="1"/>
        </dgm:presLayoutVars>
      </dgm:prSet>
      <dgm:spPr/>
      <dgm:t>
        <a:bodyPr/>
        <a:lstStyle/>
        <a:p>
          <a:endParaRPr lang="en-US"/>
        </a:p>
      </dgm:t>
    </dgm:pt>
    <dgm:pt modelId="{24F4A0C4-F90C-44B4-84B3-AF7413FCA5FA}" type="pres">
      <dgm:prSet presAssocID="{D4BD0A25-5BCD-43F8-A033-078BBF8E5820}" presName="sibTrans" presStyleLbl="sibTrans2D1" presStyleIdx="0" presStyleCnt="2" custAng="10800000"/>
      <dgm:spPr/>
      <dgm:t>
        <a:bodyPr/>
        <a:lstStyle/>
        <a:p>
          <a:endParaRPr lang="en-US"/>
        </a:p>
      </dgm:t>
    </dgm:pt>
    <dgm:pt modelId="{881DEBF5-D893-428F-938C-325CA06EC748}" type="pres">
      <dgm:prSet presAssocID="{D4BD0A25-5BCD-43F8-A033-078BBF8E5820}" presName="connectorText" presStyleLbl="sibTrans2D1" presStyleIdx="0" presStyleCnt="2"/>
      <dgm:spPr/>
      <dgm:t>
        <a:bodyPr/>
        <a:lstStyle/>
        <a:p>
          <a:endParaRPr lang="en-US"/>
        </a:p>
      </dgm:t>
    </dgm:pt>
    <dgm:pt modelId="{5AE424A6-349E-41A3-9997-F471343F04F1}" type="pres">
      <dgm:prSet presAssocID="{F23BF79A-F3B9-436A-8AD3-6BC681B717D0}" presName="node" presStyleLbl="node1" presStyleIdx="1" presStyleCnt="3">
        <dgm:presLayoutVars>
          <dgm:bulletEnabled val="1"/>
        </dgm:presLayoutVars>
      </dgm:prSet>
      <dgm:spPr/>
      <dgm:t>
        <a:bodyPr/>
        <a:lstStyle/>
        <a:p>
          <a:endParaRPr lang="en-US"/>
        </a:p>
      </dgm:t>
    </dgm:pt>
    <dgm:pt modelId="{E0E870AC-6AE4-44ED-9AC9-5A2070D21C50}" type="pres">
      <dgm:prSet presAssocID="{03C23A8C-F62B-4D1B-A807-4346AF28B7A1}" presName="sibTrans" presStyleLbl="sibTrans2D1" presStyleIdx="1" presStyleCnt="2" custAng="10800000"/>
      <dgm:spPr/>
      <dgm:t>
        <a:bodyPr/>
        <a:lstStyle/>
        <a:p>
          <a:endParaRPr lang="en-US"/>
        </a:p>
      </dgm:t>
    </dgm:pt>
    <dgm:pt modelId="{0F146077-E261-489A-9831-9A0D1454E090}" type="pres">
      <dgm:prSet presAssocID="{03C23A8C-F62B-4D1B-A807-4346AF28B7A1}" presName="connectorText" presStyleLbl="sibTrans2D1" presStyleIdx="1" presStyleCnt="2"/>
      <dgm:spPr/>
      <dgm:t>
        <a:bodyPr/>
        <a:lstStyle/>
        <a:p>
          <a:endParaRPr lang="en-US"/>
        </a:p>
      </dgm:t>
    </dgm:pt>
    <dgm:pt modelId="{56AF9C20-078B-4DC3-9AC2-6B7B1DCA3DDA}" type="pres">
      <dgm:prSet presAssocID="{5211C398-3300-4983-9F38-CF3403A67B30}" presName="node" presStyleLbl="node1" presStyleIdx="2" presStyleCnt="3">
        <dgm:presLayoutVars>
          <dgm:bulletEnabled val="1"/>
        </dgm:presLayoutVars>
      </dgm:prSet>
      <dgm:spPr/>
      <dgm:t>
        <a:bodyPr/>
        <a:lstStyle/>
        <a:p>
          <a:endParaRPr lang="en-US"/>
        </a:p>
      </dgm:t>
    </dgm:pt>
  </dgm:ptLst>
  <dgm:cxnLst>
    <dgm:cxn modelId="{712F92FB-54BA-4EF0-A67D-52C9BFB0B893}" type="presOf" srcId="{03C23A8C-F62B-4D1B-A807-4346AF28B7A1}" destId="{E0E870AC-6AE4-44ED-9AC9-5A2070D21C50}" srcOrd="0" destOrd="0" presId="urn:microsoft.com/office/officeart/2005/8/layout/process1"/>
    <dgm:cxn modelId="{9DCD61E3-01BC-4C0B-9AC8-9E659C86CE48}" type="presOf" srcId="{03C23A8C-F62B-4D1B-A807-4346AF28B7A1}" destId="{0F146077-E261-489A-9831-9A0D1454E090}" srcOrd="1" destOrd="0" presId="urn:microsoft.com/office/officeart/2005/8/layout/process1"/>
    <dgm:cxn modelId="{DE39437C-2562-4E0B-843C-82E4ACB61028}" type="presOf" srcId="{5211C398-3300-4983-9F38-CF3403A67B30}" destId="{56AF9C20-078B-4DC3-9AC2-6B7B1DCA3DDA}" srcOrd="0" destOrd="0" presId="urn:microsoft.com/office/officeart/2005/8/layout/process1"/>
    <dgm:cxn modelId="{7C4B5BEE-5052-4EE3-950B-FE1280C8735C}" type="presOf" srcId="{D4BD0A25-5BCD-43F8-A033-078BBF8E5820}" destId="{24F4A0C4-F90C-44B4-84B3-AF7413FCA5FA}" srcOrd="0" destOrd="0" presId="urn:microsoft.com/office/officeart/2005/8/layout/process1"/>
    <dgm:cxn modelId="{3520AB76-6486-47A3-987B-749DB7B910B9}" srcId="{E2702130-58C9-4658-83EF-6EAB358F1FBB}" destId="{F23BF79A-F3B9-436A-8AD3-6BC681B717D0}" srcOrd="1" destOrd="0" parTransId="{27F6F8BC-F561-4EF4-9368-05E440F8360B}" sibTransId="{03C23A8C-F62B-4D1B-A807-4346AF28B7A1}"/>
    <dgm:cxn modelId="{3EEF1350-DA22-4854-A166-AF87137FF669}" srcId="{E2702130-58C9-4658-83EF-6EAB358F1FBB}" destId="{5211C398-3300-4983-9F38-CF3403A67B30}" srcOrd="2" destOrd="0" parTransId="{323681BD-9BAD-433F-AFBE-8DB140751573}" sibTransId="{C8B2F9D0-0E73-45AD-B232-13D779572902}"/>
    <dgm:cxn modelId="{83ED6DDE-B136-4BE7-890D-0B7B896123F4}" type="presOf" srcId="{D4BD0A25-5BCD-43F8-A033-078BBF8E5820}" destId="{881DEBF5-D893-428F-938C-325CA06EC748}" srcOrd="1" destOrd="0" presId="urn:microsoft.com/office/officeart/2005/8/layout/process1"/>
    <dgm:cxn modelId="{4D7108CA-8D54-490D-8CFF-B57BA03EF850}" type="presOf" srcId="{EC5FD96C-48D5-4B15-B2BA-71C368693FD4}" destId="{6A9E7C46-ADC3-4080-A6BA-4EFBB57C1FB3}" srcOrd="0" destOrd="0" presId="urn:microsoft.com/office/officeart/2005/8/layout/process1"/>
    <dgm:cxn modelId="{0BAFD1E5-C725-407A-9698-613CEF5CFEDA}" type="presOf" srcId="{F23BF79A-F3B9-436A-8AD3-6BC681B717D0}" destId="{5AE424A6-349E-41A3-9997-F471343F04F1}" srcOrd="0" destOrd="0" presId="urn:microsoft.com/office/officeart/2005/8/layout/process1"/>
    <dgm:cxn modelId="{C7B64121-19C2-44C5-B3F3-DD7B5D2A8250}" srcId="{E2702130-58C9-4658-83EF-6EAB358F1FBB}" destId="{EC5FD96C-48D5-4B15-B2BA-71C368693FD4}" srcOrd="0" destOrd="0" parTransId="{E0453B05-090B-4393-AB6C-C95C0FC88767}" sibTransId="{D4BD0A25-5BCD-43F8-A033-078BBF8E5820}"/>
    <dgm:cxn modelId="{2B43ED34-D259-427D-9F39-D93AE502FF27}" type="presOf" srcId="{E2702130-58C9-4658-83EF-6EAB358F1FBB}" destId="{BD2BC5CC-0F75-4003-9143-5DFF4DEBD06D}" srcOrd="0" destOrd="0" presId="urn:microsoft.com/office/officeart/2005/8/layout/process1"/>
    <dgm:cxn modelId="{FB4CCC42-2EC3-442B-9DB7-3C4618155D05}" type="presParOf" srcId="{BD2BC5CC-0F75-4003-9143-5DFF4DEBD06D}" destId="{6A9E7C46-ADC3-4080-A6BA-4EFBB57C1FB3}" srcOrd="0" destOrd="0" presId="urn:microsoft.com/office/officeart/2005/8/layout/process1"/>
    <dgm:cxn modelId="{FAFB11DC-A4AF-42AC-9AA2-F0EF82F650A6}" type="presParOf" srcId="{BD2BC5CC-0F75-4003-9143-5DFF4DEBD06D}" destId="{24F4A0C4-F90C-44B4-84B3-AF7413FCA5FA}" srcOrd="1" destOrd="0" presId="urn:microsoft.com/office/officeart/2005/8/layout/process1"/>
    <dgm:cxn modelId="{68F19204-EBA6-4391-89F6-F4CEAE03C692}" type="presParOf" srcId="{24F4A0C4-F90C-44B4-84B3-AF7413FCA5FA}" destId="{881DEBF5-D893-428F-938C-325CA06EC748}" srcOrd="0" destOrd="0" presId="urn:microsoft.com/office/officeart/2005/8/layout/process1"/>
    <dgm:cxn modelId="{AFE5F14F-C776-4BF3-96EB-17ECFBA5C584}" type="presParOf" srcId="{BD2BC5CC-0F75-4003-9143-5DFF4DEBD06D}" destId="{5AE424A6-349E-41A3-9997-F471343F04F1}" srcOrd="2" destOrd="0" presId="urn:microsoft.com/office/officeart/2005/8/layout/process1"/>
    <dgm:cxn modelId="{8CBCF0F2-C5E5-4966-9269-70258E30066D}" type="presParOf" srcId="{BD2BC5CC-0F75-4003-9143-5DFF4DEBD06D}" destId="{E0E870AC-6AE4-44ED-9AC9-5A2070D21C50}" srcOrd="3" destOrd="0" presId="urn:microsoft.com/office/officeart/2005/8/layout/process1"/>
    <dgm:cxn modelId="{FE776101-7775-4750-BDCE-674DF493B6A2}" type="presParOf" srcId="{E0E870AC-6AE4-44ED-9AC9-5A2070D21C50}" destId="{0F146077-E261-489A-9831-9A0D1454E090}" srcOrd="0" destOrd="0" presId="urn:microsoft.com/office/officeart/2005/8/layout/process1"/>
    <dgm:cxn modelId="{1AB8D642-194B-4ABF-84BC-83685AECF303}" type="presParOf" srcId="{BD2BC5CC-0F75-4003-9143-5DFF4DEBD06D}" destId="{56AF9C20-078B-4DC3-9AC2-6B7B1DCA3DDA}" srcOrd="4" destOrd="0" presId="urn:microsoft.com/office/officeart/2005/8/layout/process1"/>
  </dgm:cxnLst>
  <dgm:bg/>
  <dgm:whole/>
</dgm:dataModel>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b:Source>
    <b:Tag>Fin08</b:Tag>
    <b:SourceType>Book</b:SourceType>
    <b:Guid>{E94B3322-EC25-4BDC-844B-42B3AB6C6E7E}</b:Guid>
    <b:LCID>0</b:LCID>
    <b:Author>
      <b:Author>
        <b:NameList>
          <b:Person>
            <b:Last>Fink</b:Last>
            <b:First>M.</b:First>
          </b:Person>
        </b:NameList>
      </b:Author>
    </b:Author>
    <b:Title>The rise of mutual funds. An insider's view</b:Title>
    <b:Year>2008</b:Year>
    <b:City>New York</b:City>
    <b:Publisher>Oxford University Press</b:Publisher>
    <b:RefOrder>4</b:RefOrder>
  </b:Source>
  <b:Source>
    <b:Tag>Rad103</b:Tag>
    <b:SourceType>Report</b:SourceType>
    <b:Guid>{DAC1EF54-C1E2-4A33-8C2D-A88FB0302C91}</b:Guid>
    <b:LCID>0</b:LCID>
    <b:Author>
      <b:Author>
        <b:NameList>
          <b:Person>
            <b:Last>Radu</b:Last>
            <b:First>I.</b:First>
          </b:Person>
        </b:NameList>
      </b:Author>
    </b:Author>
    <b:Title>Ref. doc. 1. Motivaţia constituirii fondurilor de investiţii</b:Title>
    <b:Year>2010d</b:Year>
    <b:Publisher>FSEGA-UBB Cluj Napoca</b:Publisher>
    <b:City>Cluj-Napoca</b:City>
    <b:RefOrder>5</b:RefOrder>
  </b:Source>
  <b:Source>
    <b:Tag>Tayep</b:Tag>
    <b:SourceType>Report</b:SourceType>
    <b:Guid>{69849D95-3B2F-49DA-8601-3905027F8F0D}</b:Guid>
    <b:LCID>0</b:LCID>
    <b:Author>
      <b:Author>
        <b:NameList>
          <b:Person>
            <b:Last>Taylor</b:Last>
            <b:First>M</b:First>
          </b:Person>
          <b:Person>
            <b:Last>Fleming</b:Last>
            <b:First>A</b:First>
          </b:Person>
        </b:NameList>
      </b:Author>
    </b:Author>
    <b:Title>Integrated financial supervision. Lessons of Northern European Experience</b:Title>
    <b:Year>1999 Sep.</b:Year>
    <b:Department>Worldbank</b:Department>
    <b:Institution>Worldbank</b:Institution>
    <b:Publisher>Worldbank</b:Publisher>
    <b:City>na.</b:City>
    <b:ThesisType>Draft</b:ThesisType>
    <b:RefOrder>9</b:RefOrder>
  </b:Source>
  <b:Source>
    <b:Tag>Pet13</b:Tag>
    <b:SourceType>JournalArticle</b:SourceType>
    <b:Guid>{5CDEE96D-E062-483B-A73B-A27C3BF7AA16}</b:Guid>
    <b:LCID>0</b:LCID>
    <b:Author>
      <b:Author>
        <b:NameList>
          <b:Person>
            <b:Last>Petrescu</b:Last>
            <b:First>D</b:First>
          </b:Person>
        </b:NameList>
      </b:Author>
    </b:Author>
    <b:Title>Autoritatea de Supraveghere Financiară în contextul european</b:Title>
    <b:Year>2013</b:Year>
    <b:JournalName>RFPC</b:JournalName>
    <b:Pages>21-24</b:Pages>
    <b:Volume>3</b:Volume>
    <b:RefOrder>8</b:RefOrder>
  </b:Source>
  <b:Source>
    <b:Tag>Rad091</b:Tag>
    <b:SourceType>JournalArticle</b:SourceType>
    <b:Guid>{87C253CC-57F9-482A-8CE3-C66A44A83C93}</b:Guid>
    <b:LCID>0</b:LCID>
    <b:Author>
      <b:Author>
        <b:NameList>
          <b:Person>
            <b:Last>Radu</b:Last>
            <b:First>I.</b:First>
          </b:Person>
        </b:NameList>
      </b:Author>
    </b:Author>
    <b:Title>Importanţa fondurilor private de investiţii</b:Title>
    <b:JournalName>Buletinul Ştiinţific al Facultăţii de Finanţe, Bănci şi Contabilitate, UCDC Braşov Nr.10-2009</b:JournalName>
    <b:Year>2009b</b:Year>
    <b:Pages>309-320</b:Pages>
    <b:RefOrder>15</b:RefOrder>
  </b:Source>
  <b:Source>
    <b:Tag>Căl07</b:Tag>
    <b:SourceType>Report</b:SourceType>
    <b:Guid>{2E2AFCDC-AB78-4D77-9984-B51BB90BC3E7}</b:Guid>
    <b:LCID>0</b:LCID>
    <b:Author>
      <b:Author>
        <b:NameList>
          <b:Person>
            <b:Last>Călugăru</b:Last>
            <b:First>A.</b:First>
          </b:Person>
          <b:Person>
            <b:Last>Cistelecan</b:Last>
            <b:First>L.</b:First>
          </b:Person>
        </b:NameList>
      </b:Author>
    </b:Author>
    <b:Title>TD. Fondurile de investiţii pe piaţa financiară a României</b:Title>
    <b:Year>2007</b:Year>
    <b:Publisher>FSEGA - UBB Cluj Napoca</b:Publisher>
    <b:City>Cluj Napoca</b:City>
    <b:Pages>271;278; 283</b:Pages>
    <b:RefOrder>1</b:RefOrder>
  </b:Source>
  <b:Source>
    <b:Tag>Rad125</b:Tag>
    <b:SourceType>JournalArticle</b:SourceType>
    <b:Guid>{F1E1ED67-3081-4C37-9F37-D7679EC2F887}</b:Guid>
    <b:LCID>0</b:LCID>
    <b:Author>
      <b:Author>
        <b:NameList>
          <b:Person>
            <b:Last>Radu</b:Last>
            <b:First>I.</b:First>
          </b:Person>
        </b:NameList>
      </b:Author>
    </b:Author>
    <b:Title>Rolul fondurilor de investiţii în sprijinirea economiei reale şi fundamentarea premiselor de dezvoltare economică sustenabilă</b:Title>
    <b:JournalName>Buletinul Ştiinţific al Facultăţii de Finanţe, Bănci şi Contabilitate - UCDC Braşov, Nr.13</b:JournalName>
    <b:Year>2012</b:Year>
    <b:RefOrder>16</b:RefOrder>
  </b:Source>
  <b:Source>
    <b:Tag>Rad124</b:Tag>
    <b:SourceType>JournalArticle</b:SourceType>
    <b:Guid>{B5D6E8ED-38B9-4F94-8E29-F0A0F6267A7C}</b:Guid>
    <b:LCID>0</b:LCID>
    <b:Author>
      <b:Author>
        <b:NameList>
          <b:Person>
            <b:Last>Radu</b:Last>
            <b:First>I.</b:First>
          </b:Person>
          <b:Person>
            <b:Last>Sava</b:Last>
            <b:First>C.</b:First>
            <b:Middle>C.</b:Middle>
          </b:Person>
        </b:NameList>
      </b:Author>
    </b:Author>
    <b:Title>Shifting investments strategy from equity funds to money market funds - the case of Romanian open-end fund market during the financial crisis</b:Title>
    <b:JournalName>Bulletin of Transilvania University of Braşov Vol.5(54)</b:JournalName>
    <b:Year>2012b</b:Year>
    <b:Pages>155</b:Pages>
    <b:RefOrder>17</b:RefOrder>
  </b:Source>
  <b:Source>
    <b:Tag>Voi151</b:Tag>
    <b:SourceType>ArticleInAPeriodical</b:SourceType>
    <b:Guid>{41427A89-C119-438A-A1B0-B3EB797AE070}</b:Guid>
    <b:LCID>0</b:LCID>
    <b:Author>
      <b:Author>
        <b:NameList>
          <b:Person>
            <b:Last>Voinea</b:Last>
            <b:First>Oana</b:First>
          </b:Person>
        </b:NameList>
      </b:Author>
    </b:Author>
    <b:Title>Marcarea la piață, un imens beneficiu pentru industria fondurilor</b:Title>
    <b:PeriodicalTitle>Piața financiară</b:PeriodicalTitle>
    <b:Year>2015</b:Year>
    <b:Month>Martie</b:Month>
    <b:Pages>59</b:Pages>
    <b:RefOrder>36</b:RefOrder>
  </b:Source>
  <b:Source>
    <b:Tag>Bai98</b:Tag>
    <b:SourceType>Book</b:SourceType>
    <b:Guid>{65671283-1657-472D-BBCC-42AEF756CD7B}</b:Guid>
    <b:LCID>0</b:LCID>
    <b:Author>
      <b:Author>
        <b:NameList>
          <b:Person>
            <b:Last>Bailesteanu</b:Last>
            <b:First>G</b:First>
          </b:Person>
        </b:NameList>
      </b:Author>
    </b:Author>
    <b:Title>Diagnostic, risc și eficientă în afaceri</b:Title>
    <b:Year>1998</b:Year>
    <b:City>Timisoara</b:City>
    <b:Publisher>Ed. Mirton</b:Publisher>
    <b:Edition>2nd</b:Edition>
    <b:RefOrder>46</b:RefOrder>
  </b:Source>
  <b:Source>
    <b:Tag>Fil08</b:Tag>
    <b:SourceType>Book</b:SourceType>
    <b:Guid>{BD23F512-FC77-42D1-A17D-5239E09B5583}</b:Guid>
    <b:LCID>0</b:LCID>
    <b:Author>
      <b:Author>
        <b:NameList>
          <b:Person>
            <b:Last>Filip</b:Last>
            <b:First>M.</b:First>
            <b:Middle>A.</b:Middle>
          </b:Person>
        </b:NameList>
      </b:Author>
    </b:Author>
    <b:Title>Evaluarea performanţelor fondurilor mutuale din România</b:Title>
    <b:Year>2008</b:Year>
    <b:City>Cluj-Napoca</b:City>
    <b:Publisher>Editura Casa Cărţii de Ştiinţă Cluj Napoca</b:Publisher>
    <b:RefOrder>2</b:RefOrder>
  </b:Source>
  <b:Source>
    <b:Tag>Fai991</b:Tag>
    <b:SourceType>Book</b:SourceType>
    <b:Guid>{A0C6D02D-1538-4F24-8576-2AD18DE1619B}</b:Guid>
    <b:LCID>0</b:LCID>
    <b:Author>
      <b:Author>
        <b:NameList>
          <b:Person>
            <b:Last>Fairly</b:Last>
            <b:First>J</b:First>
          </b:Person>
        </b:NameList>
      </b:Author>
      <b:Editor>
        <b:NameList>
          <b:Person>
            <b:Last>CliffsNotes.com</b:Last>
          </b:Person>
        </b:NameList>
      </b:Editor>
    </b:Author>
    <b:Title>Investing in Mutual funds</b:Title>
    <b:Year>1999</b:Year>
    <b:Publisher>IDG Books Worldwide Inc</b:Publisher>
    <b:City>Foster City, Canada</b:City>
    <b:Edition>www.cliffsnotes.com</b:Edition>
    <b:RefOrder>48</b:RefOrder>
  </b:Source>
  <b:Source>
    <b:Tag>6Gi03</b:Tag>
    <b:SourceType>Book</b:SourceType>
    <b:Guid>{A2021FFD-C9AD-436C-A58D-7F6A5FADB998}</b:Guid>
    <b:LCID>0</b:LCID>
    <b:Title>Managing Collective Investment Funds – Second Edition</b:Title>
    <b:Year>2003</b:Year>
    <b:City>New Jersey</b:City>
    <b:Publisher>Wiley&amp;Sons</b:Publisher>
    <b:Author>
      <b:Author>
        <b:NameList>
          <b:Person>
            <b:Last>Giles</b:Last>
            <b:First>M.</b:First>
          </b:Person>
          <b:Person>
            <b:Last>Alexeeva</b:Last>
            <b:First>E.</b:First>
          </b:Person>
          <b:Person>
            <b:Last>Buxton</b:Last>
            <b:First>S.</b:First>
          </b:Person>
        </b:NameList>
      </b:Author>
    </b:Author>
    <b:RefOrder>12</b:RefOrder>
  </b:Source>
  <b:Source>
    <b:Tag>Cha09</b:Tag>
    <b:SourceType>JournalArticle</b:SourceType>
    <b:Guid>{3DBE180A-0A9F-4BB2-AE5D-91FC0289BB80}</b:Guid>
    <b:LCID>0</b:LCID>
    <b:Author>
      <b:Author>
        <b:NameList>
          <b:Person>
            <b:Last>Chan</b:Last>
            <b:First>H.</b:First>
            <b:Middle>W.</b:Middle>
          </b:Person>
          <b:Person>
            <b:Last>Faff</b:Last>
            <b:First>R.</b:First>
            <b:Middle>W.</b:Middle>
          </b:Person>
          <b:Person>
            <b:Last>Gallagher</b:Last>
            <b:First>D.</b:First>
            <b:Middle>R.</b:Middle>
          </b:Person>
          <b:Person>
            <b:Last>Looi</b:Last>
            <b:First>A.</b:First>
          </b:Person>
        </b:NameList>
      </b:Author>
    </b:Author>
    <b:Title>Fund size, transaction costs and performance: size matters!</b:Title>
    <b:JournalName>Australian Journal of Management, 34(1), http://aum.sagepub.com/content/34/1/73</b:JournalName>
    <b:Year>2009</b:Year>
    <b:Pages>73-96</b:Pages>
    <b:RefOrder>49</b:RefOrder>
  </b:Source>
  <b:Source>
    <b:Tag>San09</b:Tag>
    <b:SourceType>Report</b:SourceType>
    <b:Guid>{2BF6F658-FEDD-47DB-B68C-5E866488D8A4}</b:Guid>
    <b:LCID>0</b:LCID>
    <b:Author>
      <b:Author>
        <b:NameList>
          <b:Person>
            <b:Last>Sanchez</b:Last>
            <b:First>J.L.</b:First>
            <b:Middle>F.</b:Middle>
          </b:Person>
          <b:Person>
            <b:Last>Sottorio</b:Last>
            <b:First>L.</b:First>
            <b:Middle>L.</b:Middle>
          </b:Person>
        </b:NameList>
      </b:Author>
    </b:Author>
    <b:Title>Performance of European SRI funds vs conventional funds</b:Title>
    <b:Year>2009</b:Year>
    <b:Publisher>Santander</b:Publisher>
    <b:Institution>University of Cantabria</b:Institution>
    <b:ThesisType>Working paper</b:ThesisType>
    <b:RefOrder>50</b:RefOrder>
  </b:Source>
  <b:Source>
    <b:Tag>Has10</b:Tag>
    <b:SourceType>Book</b:SourceType>
    <b:Guid>{54CA528D-51C2-42B7-B7F2-8C93597E8F3D}</b:Guid>
    <b:LCID>0</b:LCID>
    <b:Author>
      <b:Author>
        <b:NameList>
          <b:Person>
            <b:Last>Haslem</b:Last>
            <b:First>J.</b:First>
          </b:Person>
        </b:NameList>
      </b:Author>
    </b:Author>
    <b:Title>Mutual funds. Portfolio Structures, Analysis, Management and Stewardship</b:Title>
    <b:Year>2010</b:Year>
    <b:City>SUA</b:City>
    <b:Publisher>Wiley&amp;Sons, R.Kolb Series in Finance</b:Publisher>
    <b:RefOrder>51</b:RefOrder>
  </b:Source>
  <b:Source>
    <b:Tag>Shi13</b:Tag>
    <b:SourceType>Report</b:SourceType>
    <b:Guid>{5F80A530-09AA-42B3-AECB-AFC19A426559}</b:Guid>
    <b:LCID>0</b:LCID>
    <b:Author>
      <b:Author>
        <b:NameList>
          <b:Person>
            <b:Last>Shi</b:Last>
            <b:First>Q.</b:First>
          </b:Person>
        </b:NameList>
      </b:Author>
    </b:Author>
    <b:Title>Equity mutual fund performance: evidence from China. Master Thesis</b:Title>
    <b:Year>2013</b:Year>
    <b:Publisher>Supervisors: Xiaohong Huang and  H.C. (Henry) van Beusichem, March 2013,</b:Publisher>
    <b:Department>University of Twente  School of Management and Governance, Master of Science in Business Administration</b:Department>
    <b:City>Twente</b:City>
    <b:Comments>http://essay.utwente.nl/63067/</b:Comments>
    <b:RefOrder>52</b:RefOrder>
  </b:Source>
  <b:Source>
    <b:Tag>Luc10</b:Tag>
    <b:SourceType>Book</b:SourceType>
    <b:Guid>{BE7528A4-F66E-4728-8BDE-F40A243B38D9}</b:Guid>
    <b:LCID>0</b:LCID>
    <b:Author>
      <b:Author>
        <b:NameList>
          <b:Person>
            <b:Last>Luckoff</b:Last>
            <b:First>Peter</b:First>
          </b:Person>
        </b:NameList>
      </b:Author>
    </b:Author>
    <b:Title>Mutual fund performance and Performance Persistance. The impact of fund flows and manager changes</b:Title>
    <b:Year>2010</b:Year>
    <b:Publisher>Gabler Verlag</b:Publisher>
    <b:City>Germany</b:City>
    <b:Edition>1</b:Edition>
    <b:RefOrder>53</b:RefOrder>
  </b:Source>
  <b:Source>
    <b:Tag>Ped03</b:Tag>
    <b:SourceType>JournalArticle</b:SourceType>
    <b:Guid>{EC9CB87E-EC1C-4780-990F-AEA1884570D9}</b:Guid>
    <b:LCID>0</b:LCID>
    <b:Author>
      <b:Author>
        <b:NameList>
          <b:Person>
            <b:Last>Pedersen</b:Last>
            <b:First>C</b:First>
            <b:Middle>S</b:Middle>
          </b:Person>
          <b:Person>
            <b:Last>Rudholm-Alfvin</b:Last>
            <b:First>T</b:First>
          </b:Person>
        </b:NameList>
      </b:Author>
    </b:Author>
    <b:Title>Selecting a risk-adjusted shareholder performance measure.</b:Title>
    <b:Year>2003</b:Year>
    <b:JournalName>Journal of asset management</b:JournalName>
    <b:Pages>152-172</b:Pages>
    <b:Volume>4</b:Volume>
    <b:Issue>(3)</b:Issue>
    <b:RefOrder>54</b:RefOrder>
  </b:Source>
  <b:Source>
    <b:Tag>Niț09</b:Tag>
    <b:SourceType>Book</b:SourceType>
    <b:Guid>{07A68C92-1CA3-417B-AD3D-83A551FF53CF}</b:Guid>
    <b:LCID>0</b:LCID>
    <b:Author>
      <b:Author>
        <b:NameList>
          <b:Person>
            <b:Last>Nițu</b:Last>
            <b:First>Adrian</b:First>
          </b:Person>
        </b:NameList>
      </b:Author>
    </b:Author>
    <b:Title>Piața de capital. Instituții</b:Title>
    <b:Year>2009</b:Year>
    <b:Publisher>Editura Universității de Vest</b:Publisher>
    <b:City>Timișoara</b:City>
    <b:RefOrder>14</b:RefOrder>
  </b:Source>
  <b:Source>
    <b:Tag>Duh09</b:Tag>
    <b:SourceType>JournalArticle</b:SourceType>
    <b:Guid>{1ECAE88A-F405-4244-8F98-2E86D4C666F9}</b:Guid>
    <b:LCID>0</b:LCID>
    <b:Author>
      <b:Author>
        <b:NameList>
          <b:Person>
            <b:Last>Duhnea</b:Last>
            <b:First>C.</b:First>
          </b:Person>
          <b:Person>
            <b:Last>Mitrescu</b:Last>
            <b:First>S.</b:First>
            <b:Middle>G.</b:Middle>
          </b:Person>
        </b:NameList>
      </b:Author>
    </b:Author>
    <b:Title>Finantarea corporatiilor prin emisiuni de obligatiuni pe piata de capital din Romania</b:Title>
    <b:JournalName>Revista de Economie Teoretica si Aplicata</b:JournalName>
    <b:Year>2009</b:Year>
    <b:Pages>647</b:Pages>
    <b:City>Bucuresti</b:City>
    <b:Publisher>ASE Bucuresti</b:Publisher>
    <b:RefOrder>65</b:RefOrder>
  </b:Source>
  <b:Source>
    <b:Tag>Dum152</b:Tag>
    <b:SourceType>ArticleInAPeriodical</b:SourceType>
    <b:Guid>{5373D562-FAFA-4ABD-B4E5-A1782AF7883A}</b:Guid>
    <b:LCID>0</b:LCID>
    <b:Author>
      <b:Author>
        <b:NameList>
          <b:Person>
            <b:Last>Dumitriu</b:Last>
            <b:First>Ionut</b:First>
          </b:Person>
        </b:NameList>
      </b:Author>
    </b:Author>
    <b:Title>Supliment fonduri și pensii</b:Title>
    <b:PeriodicalTitle>Piața financiară</b:PeriodicalTitle>
    <b:Year>2015</b:Year>
    <b:Month>Martie </b:Month>
    <b:Pages>42-63</b:Pages>
    <b:RefOrder>40</b:RefOrder>
  </b:Source>
  <b:Source>
    <b:Tag>Moi152</b:Tag>
    <b:SourceType>ArticleInAPeriodical</b:SourceType>
    <b:Guid>{0E6AB1F0-0CE7-41AD-85E1-4CE0A14F56BE}</b:Guid>
    <b:LCID>0</b:LCID>
    <b:Author>
      <b:Author>
        <b:NameList>
          <b:Person>
            <b:Last>Moise</b:Last>
            <b:First>Ortansa</b:First>
          </b:Person>
        </b:NameList>
      </b:Author>
    </b:Author>
    <b:Title>Crește interesul pentru planificare financiară</b:Title>
    <b:PeriodicalTitle>Piața financiară</b:PeriodicalTitle>
    <b:Year>2015</b:Year>
    <b:Month>Martie</b:Month>
    <b:Pages>64</b:Pages>
    <b:RefOrder>68</b:RefOrder>
  </b:Source>
  <b:Source>
    <b:Tag>Matna</b:Tag>
    <b:SourceType>JournalArticle</b:SourceType>
    <b:Guid>{333553A8-B52E-4581-90A9-68AE7CC7F958}</b:Guid>
    <b:LCID>0</b:LCID>
    <b:Author>
      <b:Author>
        <b:NameList>
          <b:Person>
            <b:Last>Matei</b:Last>
            <b:First>Mirela</b:First>
          </b:Person>
        </b:NameList>
      </b:Author>
    </b:Author>
    <b:Title>Fondurile cu capital de risc - o noua sursa de finantare a investitiilor din Romania</b:Title>
    <b:Year>n.a</b:Year>
    <b:JournalName>n.a</b:JournalName>
    <b:Pages>n.a</b:Pages>
    <b:RefOrder>69</b:RefOrder>
  </b:Source>
  <b:Source>
    <b:Tag>Sec08</b:Tag>
    <b:SourceType>ArticleInAPeriodical</b:SourceType>
    <b:Guid>{161C5D47-56C2-46E2-9211-C436FB2761E8}</b:Guid>
    <b:LCID>0</b:LCID>
    <b:Author>
      <b:Author>
        <b:NameList>
          <b:Person>
            <b:Last>Secară</b:Last>
            <b:First>B.</b:First>
          </b:Person>
        </b:NameList>
      </b:Author>
    </b:Author>
    <b:Title>Capitalul de risc în consolidarea financiară a întreprinderii</b:Title>
    <b:Year>2008</b:Year>
    <b:PeriodicalTitle>Tribuna Economică nr.19</b:PeriodicalTitle>
    <b:Pages>25-28</b:Pages>
    <b:RefOrder>70</b:RefOrder>
  </b:Source>
  <b:Source>
    <b:Tag>Năs09</b:Tag>
    <b:SourceType>JournalArticle</b:SourceType>
    <b:Guid>{7390C84D-5E7B-46F7-BD8D-EBF3C1ABA5F6}</b:Guid>
    <b:LCID>0</b:LCID>
    <b:Author>
      <b:Author>
        <b:NameList>
          <b:Person>
            <b:Last>Năstase</b:Last>
            <b:First>G.</b:First>
          </b:Person>
          <b:Person>
            <b:Last>Badea</b:Last>
            <b:First>D.</b:First>
          </b:Person>
          <b:Person>
            <b:Last>Năstase</b:Last>
            <b:First>D.</b:First>
            <b:Middle>I.</b:Middle>
          </b:Person>
        </b:NameList>
      </b:Author>
    </b:Author>
    <b:Title>Finanţarea transferului de tehnologie prin capitaluri de risc</b:Title>
    <b:JournalName>Revista de Economie Teoretica si Aplicata </b:JournalName>
    <b:Year>2009</b:Year>
    <b:Pages>507</b:Pages>
    <b:RefOrder>82</b:RefOrder>
  </b:Source>
  <b:Source>
    <b:Tag>Vas09</b:Tag>
    <b:SourceType>ArticleInAPeriodical</b:SourceType>
    <b:Guid>{66C539A7-4F9F-40FD-9F52-58A420FE4AFB}</b:Guid>
    <b:LCID>0</b:LCID>
    <b:Author>
      <b:Author>
        <b:NameList>
          <b:Person>
            <b:Last>Vasilescu Giurcă</b:Last>
            <b:First>L.</b:First>
          </b:Person>
          <b:Person>
            <b:Last>Simion</b:Last>
            <b:First>S.</b:First>
          </b:Person>
        </b:NameList>
      </b:Author>
    </b:Author>
    <b:Title>Facilitatea accesului întreprinderilor mici şi mijlocii inovative la fondurile de capital de risc</b:Title>
    <b:PeriodicalTitle>Revista de Finanţe Publice şi Contabilitate No.1</b:PeriodicalTitle>
    <b:Year>2009</b:Year>
    <b:Pages>22-26</b:Pages>
    <b:RefOrder>88</b:RefOrder>
  </b:Source>
  <b:Source>
    <b:Tag>Rad0b</b:Tag>
    <b:SourceType>ConferenceProceedings</b:SourceType>
    <b:Guid>{A91F57C0-AFF3-424D-AB04-F203550AF81D}</b:Guid>
    <b:LCID>0</b:LCID>
    <b:Author>
      <b:Author>
        <b:NameList>
          <b:Person>
            <b:Last>Radu</b:Last>
            <b:First>I.</b:First>
          </b:Person>
        </b:NameList>
      </b:Author>
    </b:Author>
    <b:Title>The social impact of private equity funds in Romania</b:Title>
    <b:Pages>282-287</b:Pages>
    <b:Year>2010b</b:Year>
    <b:ConferenceName>International Conference: Competitiveness and Stability in the Knowledge based Economy - Annals of University of Craiova - Economic Sciences Series, vol II., Issue 38</b:ConferenceName>
    <b:City>Craiova</b:City>
    <b:Publisher>Universitatea din Craiova, Facultatea de Stiinte Economice</b:Publisher>
    <b:RefOrder>95</b:RefOrder>
  </b:Source>
  <b:Source>
    <b:Tag>Gal091</b:Tag>
    <b:SourceType>ArticleInAPeriodical</b:SourceType>
    <b:Guid>{0A28431B-A0C9-4F37-94C5-FD43004275D8}</b:Guid>
    <b:LCID>0</b:LCID>
    <b:Author>
      <b:Author>
        <b:NameList>
          <b:Person>
            <b:Last>Galeteanu</b:Last>
            <b:First>Nicoleta</b:First>
          </b:Person>
        </b:NameList>
      </b:Author>
    </b:Author>
    <b:Title>In lipsa creditelor, companiile se pot imprumuta la fondurile de private equity</b:Title>
    <b:Year>2009</b:Year>
    <b:Month>Feb</b:Month>
    <b:Day>25</b:Day>
    <b:RefOrder>96</b:RefOrder>
  </b:Source>
  <b:Source>
    <b:Tag>Rad102</b:Tag>
    <b:SourceType>ConferenceProceedings</b:SourceType>
    <b:Guid>{90072D97-226D-470D-B961-BBA058B03A9C}</b:Guid>
    <b:LCID>0</b:LCID>
    <b:Author>
      <b:Author>
        <b:NameList>
          <b:Person>
            <b:Last>Radu</b:Last>
            <b:First>I.</b:First>
          </b:Person>
          <b:Person>
            <b:Last>Nistor</b:Last>
            <b:First>I.</b:First>
          </b:Person>
        </b:NameList>
      </b:Author>
    </b:Author>
    <b:Title>Private equity - a challenge or a chance?</b:Title>
    <b:Year>2010</b:Year>
    <b:ConferenceName>International Conference: European Integration. New Challenges, 6th edition, 28-29 May,</b:ConferenceName>
    <b:City>Oradea</b:City>
    <b:Publisher>Universitatea din Oradea, Facultatea de Stiinte Economice</b:Publisher>
    <b:Pages>629-634</b:Pages>
    <b:Comments>http://ideas.repec.org/a/ora/journl/v1y2010i2p629-634.html </b:Comments>
    <b:RefOrder>90</b:RefOrder>
  </b:Source>
</b:Sources>
</file>

<file path=customXml/itemProps1.xml><?xml version="1.0" encoding="utf-8"?>
<ds:datastoreItem xmlns:ds="http://schemas.openxmlformats.org/officeDocument/2006/customXml" ds:itemID="{90BB76BB-204C-4ED9-AE8E-3D7682C5E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32</Pages>
  <Words>13682</Words>
  <Characters>77993</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Ioana_Florin</dc:creator>
  <cp:lastModifiedBy>Ioana_Florin</cp:lastModifiedBy>
  <cp:revision>61</cp:revision>
  <cp:lastPrinted>2016-05-16T17:18:00Z</cp:lastPrinted>
  <dcterms:created xsi:type="dcterms:W3CDTF">2016-05-16T18:27:00Z</dcterms:created>
  <dcterms:modified xsi:type="dcterms:W3CDTF">2016-05-30T20:00:00Z</dcterms:modified>
</cp:coreProperties>
</file>