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ED94" w14:textId="77777777" w:rsidR="006741EE" w:rsidRDefault="006741EE"/>
    <w:p w14:paraId="4F640D92" w14:textId="77777777" w:rsidR="008149C0" w:rsidRDefault="00C317B4" w:rsidP="00B34B59">
      <w:pPr>
        <w:spacing w:after="0" w:line="360" w:lineRule="auto"/>
        <w:jc w:val="center"/>
        <w:rPr>
          <w:rFonts w:cs="Times New Roman"/>
          <w:b/>
          <w:szCs w:val="24"/>
        </w:rPr>
      </w:pPr>
      <w:r>
        <w:rPr>
          <w:noProof/>
        </w:rPr>
        <w:drawing>
          <wp:anchor distT="0" distB="0" distL="115200" distR="115200" simplePos="0" relativeHeight="251655680" behindDoc="0" locked="0" layoutInCell="1" allowOverlap="1" wp14:anchorId="0C3775C4" wp14:editId="3D63B64D">
            <wp:simplePos x="0" y="0"/>
            <wp:positionH relativeFrom="column">
              <wp:posOffset>-243840</wp:posOffset>
            </wp:positionH>
            <wp:positionV relativeFrom="paragraph">
              <wp:posOffset>83820</wp:posOffset>
            </wp:positionV>
            <wp:extent cx="826135" cy="825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09506" name=""/>
                    <pic:cNvPicPr>
                      <a:picLocks noChangeAspect="1"/>
                    </pic:cNvPicPr>
                  </pic:nvPicPr>
                  <pic:blipFill rotWithShape="1">
                    <a:blip r:embed="rId8"/>
                    <a:stretch/>
                  </pic:blipFill>
                  <pic:spPr bwMode="auto">
                    <a:xfrm>
                      <a:off x="0" y="0"/>
                      <a:ext cx="826135" cy="825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0" locked="0" layoutInCell="1" allowOverlap="1" wp14:anchorId="08B70F45" wp14:editId="6D64CB58">
            <wp:simplePos x="0" y="0"/>
            <wp:positionH relativeFrom="column">
              <wp:posOffset>4000500</wp:posOffset>
            </wp:positionH>
            <wp:positionV relativeFrom="paragraph">
              <wp:posOffset>-38735</wp:posOffset>
            </wp:positionV>
            <wp:extent cx="1983740" cy="1007110"/>
            <wp:effectExtent l="0" t="0" r="0" b="0"/>
            <wp:wrapTopAndBottom/>
            <wp:docPr id="14424165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3740" cy="1007110"/>
                    </a:xfrm>
                    <a:prstGeom prst="rect">
                      <a:avLst/>
                    </a:prstGeom>
                    <a:noFill/>
                    <a:ln>
                      <a:noFill/>
                    </a:ln>
                  </pic:spPr>
                </pic:pic>
              </a:graphicData>
            </a:graphic>
          </wp:anchor>
        </w:drawing>
      </w:r>
    </w:p>
    <w:p w14:paraId="4C698CD4" w14:textId="77777777" w:rsidR="008149C0" w:rsidRPr="0075083C" w:rsidRDefault="008149C0" w:rsidP="00B34B59">
      <w:pPr>
        <w:spacing w:after="0" w:line="360" w:lineRule="auto"/>
        <w:jc w:val="center"/>
        <w:rPr>
          <w:rFonts w:cs="Times New Roman"/>
          <w:szCs w:val="24"/>
        </w:rPr>
      </w:pPr>
      <w:r w:rsidRPr="0075083C">
        <w:rPr>
          <w:rFonts w:cs="Times New Roman"/>
          <w:b/>
          <w:szCs w:val="24"/>
        </w:rPr>
        <w:t>BABEȘ-BOLYAI UNIVERSITY</w:t>
      </w:r>
    </w:p>
    <w:p w14:paraId="084C8559" w14:textId="77777777" w:rsidR="008149C0" w:rsidRPr="0075083C" w:rsidRDefault="008149C0" w:rsidP="00B34B59">
      <w:pPr>
        <w:spacing w:after="0" w:line="360" w:lineRule="auto"/>
        <w:jc w:val="center"/>
        <w:rPr>
          <w:rFonts w:cs="Times New Roman"/>
          <w:szCs w:val="24"/>
        </w:rPr>
      </w:pPr>
      <w:r w:rsidRPr="0075083C">
        <w:rPr>
          <w:rFonts w:cs="Times New Roman"/>
          <w:b/>
          <w:szCs w:val="24"/>
        </w:rPr>
        <w:t>FACULTY OF PSYCHOLOGY AND EDUCATIONAL SCIENCES</w:t>
      </w:r>
    </w:p>
    <w:p w14:paraId="7AA4631F" w14:textId="7C5DE0B6" w:rsidR="008149C0" w:rsidRDefault="008149C0" w:rsidP="00B34B59">
      <w:pPr>
        <w:spacing w:after="0" w:line="360" w:lineRule="auto"/>
        <w:jc w:val="center"/>
        <w:rPr>
          <w:rFonts w:cs="Times New Roman"/>
          <w:b/>
          <w:szCs w:val="24"/>
        </w:rPr>
      </w:pPr>
      <w:r w:rsidRPr="0075083C">
        <w:rPr>
          <w:rFonts w:cs="Times New Roman"/>
          <w:b/>
          <w:szCs w:val="24"/>
        </w:rPr>
        <w:t xml:space="preserve">DOCTORAL SCHOOL </w:t>
      </w:r>
      <w:r w:rsidR="00E54BB3">
        <w:rPr>
          <w:rFonts w:cs="Times New Roman"/>
          <w:b/>
          <w:szCs w:val="24"/>
        </w:rPr>
        <w:t>“</w:t>
      </w:r>
      <w:r w:rsidR="00E54BB3" w:rsidRPr="00E54BB3">
        <w:rPr>
          <w:rFonts w:cs="Times New Roman"/>
          <w:b/>
          <w:szCs w:val="24"/>
        </w:rPr>
        <w:t>EVIDENCE-BASED ASSESSMENT AND PSYCHOLOGICAL INTERVENTIONS</w:t>
      </w:r>
      <w:r w:rsidR="00E54BB3">
        <w:rPr>
          <w:rFonts w:cs="Times New Roman"/>
          <w:b/>
          <w:szCs w:val="24"/>
        </w:rPr>
        <w:t>”</w:t>
      </w:r>
    </w:p>
    <w:p w14:paraId="0F7B9A85" w14:textId="77777777" w:rsidR="00B34B59" w:rsidRPr="00CC5950" w:rsidRDefault="00B34B59" w:rsidP="00B34B59">
      <w:pPr>
        <w:spacing w:after="0" w:line="360" w:lineRule="auto"/>
        <w:jc w:val="center"/>
        <w:rPr>
          <w:rFonts w:cs="Times New Roman"/>
          <w:b/>
          <w:szCs w:val="24"/>
        </w:rPr>
      </w:pPr>
    </w:p>
    <w:p w14:paraId="13E39658" w14:textId="77777777" w:rsidR="008149C0" w:rsidRPr="0075083C" w:rsidRDefault="008149C0" w:rsidP="00B34B59">
      <w:pPr>
        <w:spacing w:after="0" w:line="360" w:lineRule="auto"/>
        <w:jc w:val="center"/>
        <w:rPr>
          <w:rFonts w:cs="Times New Roman"/>
          <w:szCs w:val="24"/>
        </w:rPr>
      </w:pPr>
    </w:p>
    <w:p w14:paraId="1D0B6006" w14:textId="77777777" w:rsidR="008149C0" w:rsidRDefault="008149C0" w:rsidP="00B34B59">
      <w:pPr>
        <w:spacing w:after="0" w:line="360" w:lineRule="auto"/>
        <w:jc w:val="center"/>
        <w:rPr>
          <w:rFonts w:cs="Times New Roman"/>
          <w:b/>
          <w:sz w:val="28"/>
          <w:szCs w:val="28"/>
        </w:rPr>
      </w:pPr>
      <w:r w:rsidRPr="00CC5950">
        <w:rPr>
          <w:rFonts w:cs="Times New Roman"/>
          <w:b/>
          <w:sz w:val="28"/>
          <w:szCs w:val="28"/>
        </w:rPr>
        <w:t>ABSTRACT OF THE DOCTORAL THESIS</w:t>
      </w:r>
    </w:p>
    <w:p w14:paraId="586F868B" w14:textId="77777777" w:rsidR="00B34B59" w:rsidRDefault="00B34B59" w:rsidP="00B34B59">
      <w:pPr>
        <w:spacing w:after="0" w:line="360" w:lineRule="auto"/>
        <w:jc w:val="center"/>
        <w:rPr>
          <w:rFonts w:cs="Times New Roman"/>
          <w:b/>
          <w:sz w:val="28"/>
          <w:szCs w:val="28"/>
        </w:rPr>
      </w:pPr>
    </w:p>
    <w:p w14:paraId="49895D75" w14:textId="77777777" w:rsidR="00B34B59" w:rsidRDefault="00B34B59" w:rsidP="00B34B59">
      <w:pPr>
        <w:spacing w:after="0" w:line="360" w:lineRule="auto"/>
        <w:jc w:val="center"/>
        <w:rPr>
          <w:rFonts w:cs="Times New Roman"/>
          <w:b/>
          <w:sz w:val="28"/>
          <w:szCs w:val="28"/>
        </w:rPr>
      </w:pPr>
    </w:p>
    <w:p w14:paraId="35D33EFA" w14:textId="77777777" w:rsidR="00B34B59" w:rsidRPr="00CC5950" w:rsidRDefault="00B34B59" w:rsidP="00B34B59">
      <w:pPr>
        <w:spacing w:after="0" w:line="360" w:lineRule="auto"/>
        <w:jc w:val="center"/>
        <w:rPr>
          <w:rFonts w:cs="Times New Roman"/>
          <w:sz w:val="28"/>
          <w:szCs w:val="28"/>
        </w:rPr>
      </w:pPr>
    </w:p>
    <w:p w14:paraId="0423BEC3" w14:textId="70E2F3AF" w:rsidR="008149C0" w:rsidRPr="0075083C" w:rsidRDefault="008149C0" w:rsidP="00B34B59">
      <w:pPr>
        <w:spacing w:after="0" w:line="360" w:lineRule="auto"/>
        <w:jc w:val="center"/>
        <w:rPr>
          <w:rFonts w:cs="Times New Roman"/>
          <w:szCs w:val="24"/>
        </w:rPr>
      </w:pPr>
      <w:r w:rsidRPr="0075083C">
        <w:rPr>
          <w:rFonts w:cs="Times New Roman"/>
          <w:b/>
          <w:szCs w:val="24"/>
        </w:rPr>
        <w:t xml:space="preserve">VIRTUAL REALITY FOR </w:t>
      </w:r>
      <w:r>
        <w:rPr>
          <w:rFonts w:cs="Times New Roman"/>
          <w:b/>
          <w:szCs w:val="24"/>
        </w:rPr>
        <w:t>THERAPEUTIC RELATIONSHIP</w:t>
      </w:r>
      <w:r w:rsidRPr="0075083C">
        <w:rPr>
          <w:rFonts w:cs="Times New Roman"/>
          <w:b/>
          <w:szCs w:val="24"/>
        </w:rPr>
        <w:t xml:space="preserve"> SKILLS</w:t>
      </w:r>
      <w:r w:rsidR="00E54BB3">
        <w:rPr>
          <w:rFonts w:cs="Times New Roman"/>
          <w:b/>
          <w:szCs w:val="24"/>
        </w:rPr>
        <w:t xml:space="preserve"> </w:t>
      </w:r>
      <w:r w:rsidR="00E54BB3" w:rsidRPr="0075083C">
        <w:rPr>
          <w:rFonts w:cs="Times New Roman"/>
          <w:b/>
          <w:szCs w:val="24"/>
        </w:rPr>
        <w:t>TRAINING</w:t>
      </w:r>
      <w:r w:rsidRPr="0075083C">
        <w:rPr>
          <w:rFonts w:cs="Times New Roman"/>
          <w:b/>
          <w:szCs w:val="24"/>
        </w:rPr>
        <w:t xml:space="preserve"> IN FUTURE PSYCHOTHERAPISTS:</w:t>
      </w:r>
    </w:p>
    <w:p w14:paraId="6A59EC52" w14:textId="77777777" w:rsidR="008149C0" w:rsidRDefault="008149C0" w:rsidP="00B34B59">
      <w:pPr>
        <w:spacing w:after="0" w:line="360" w:lineRule="auto"/>
        <w:jc w:val="center"/>
        <w:rPr>
          <w:rFonts w:cs="Times New Roman"/>
          <w:b/>
          <w:i/>
          <w:iCs/>
          <w:szCs w:val="24"/>
        </w:rPr>
      </w:pPr>
      <w:r w:rsidRPr="0075083C">
        <w:rPr>
          <w:rFonts w:cs="Times New Roman"/>
          <w:b/>
          <w:szCs w:val="24"/>
        </w:rPr>
        <w:t xml:space="preserve">DESIGN AND EMPIRICAL EVALUATION OF THE </w:t>
      </w:r>
      <w:r>
        <w:rPr>
          <w:rFonts w:cs="Times New Roman"/>
          <w:b/>
          <w:i/>
          <w:iCs/>
          <w:szCs w:val="24"/>
        </w:rPr>
        <w:t xml:space="preserve">‘FUTURE PSYCHOTHERAPISTS’ </w:t>
      </w:r>
      <w:r w:rsidRPr="0075083C">
        <w:rPr>
          <w:rFonts w:cs="Times New Roman"/>
          <w:b/>
          <w:szCs w:val="24"/>
        </w:rPr>
        <w:t>APPLICATION</w:t>
      </w:r>
    </w:p>
    <w:p w14:paraId="16CBE972" w14:textId="77777777" w:rsidR="00B34B59" w:rsidRDefault="00B34B59" w:rsidP="00B34B59">
      <w:pPr>
        <w:spacing w:after="0" w:line="360" w:lineRule="auto"/>
        <w:jc w:val="center"/>
        <w:rPr>
          <w:rFonts w:cs="Times New Roman"/>
          <w:b/>
          <w:i/>
          <w:iCs/>
          <w:szCs w:val="24"/>
        </w:rPr>
      </w:pPr>
    </w:p>
    <w:p w14:paraId="27C78438" w14:textId="77777777" w:rsidR="00B34B59" w:rsidRDefault="00B34B59" w:rsidP="00B34B59">
      <w:pPr>
        <w:spacing w:after="0" w:line="360" w:lineRule="auto"/>
        <w:jc w:val="center"/>
        <w:rPr>
          <w:rFonts w:cs="Times New Roman"/>
          <w:b/>
          <w:i/>
          <w:iCs/>
          <w:szCs w:val="24"/>
        </w:rPr>
      </w:pPr>
    </w:p>
    <w:p w14:paraId="2C282EF6" w14:textId="77777777" w:rsidR="008149C0" w:rsidRPr="0075083C" w:rsidRDefault="008149C0" w:rsidP="00B34B59">
      <w:pPr>
        <w:spacing w:after="0" w:line="360" w:lineRule="auto"/>
        <w:jc w:val="center"/>
        <w:rPr>
          <w:rFonts w:cs="Times New Roman"/>
          <w:i/>
          <w:iCs/>
          <w:szCs w:val="24"/>
        </w:rPr>
      </w:pPr>
    </w:p>
    <w:p w14:paraId="1C9E6C4F" w14:textId="77777777" w:rsidR="008149C0" w:rsidRPr="0075083C" w:rsidRDefault="008149C0" w:rsidP="00B34B59">
      <w:pPr>
        <w:spacing w:after="0" w:line="360" w:lineRule="auto"/>
        <w:rPr>
          <w:rFonts w:cs="Times New Roman"/>
          <w:szCs w:val="24"/>
        </w:rPr>
      </w:pPr>
      <w:r w:rsidRPr="0075083C">
        <w:rPr>
          <w:rFonts w:cs="Times New Roman"/>
          <w:b/>
          <w:szCs w:val="24"/>
        </w:rPr>
        <w:t xml:space="preserve">AUTHOR: </w:t>
      </w:r>
      <w:r w:rsidRPr="00CC5950">
        <w:rPr>
          <w:rFonts w:cs="Times New Roman"/>
          <w:bCs/>
          <w:szCs w:val="24"/>
        </w:rPr>
        <w:t>PhD STUDENT DANA ANDREEA CRISTOLȚAN</w:t>
      </w:r>
    </w:p>
    <w:p w14:paraId="04ADDD7B" w14:textId="77777777" w:rsidR="008149C0" w:rsidRDefault="008149C0" w:rsidP="00B34B59">
      <w:pPr>
        <w:spacing w:after="0" w:line="360" w:lineRule="auto"/>
        <w:rPr>
          <w:rFonts w:cs="Times New Roman"/>
          <w:bCs/>
          <w:szCs w:val="24"/>
        </w:rPr>
      </w:pPr>
      <w:r w:rsidRPr="0075083C">
        <w:rPr>
          <w:rFonts w:cs="Times New Roman"/>
          <w:b/>
          <w:szCs w:val="24"/>
        </w:rPr>
        <w:t xml:space="preserve">SUPERVISOR: </w:t>
      </w:r>
      <w:r w:rsidRPr="00CC5950">
        <w:rPr>
          <w:rFonts w:cs="Times New Roman"/>
          <w:bCs/>
          <w:szCs w:val="24"/>
        </w:rPr>
        <w:t>PROFESSOR DANIEL OVIDIU DAVID, PhD</w:t>
      </w:r>
    </w:p>
    <w:p w14:paraId="1D1675CD" w14:textId="77777777" w:rsidR="00B34B59" w:rsidRDefault="00B34B59" w:rsidP="00B34B59">
      <w:pPr>
        <w:spacing w:after="0" w:line="360" w:lineRule="auto"/>
        <w:rPr>
          <w:rFonts w:cs="Times New Roman"/>
          <w:bCs/>
          <w:szCs w:val="24"/>
        </w:rPr>
      </w:pPr>
    </w:p>
    <w:p w14:paraId="01B20335" w14:textId="77777777" w:rsidR="00B34B59" w:rsidRDefault="00B34B59" w:rsidP="00B34B59">
      <w:pPr>
        <w:spacing w:after="0" w:line="360" w:lineRule="auto"/>
        <w:rPr>
          <w:rFonts w:cs="Times New Roman"/>
          <w:bCs/>
          <w:szCs w:val="24"/>
        </w:rPr>
      </w:pPr>
    </w:p>
    <w:p w14:paraId="2531B18B" w14:textId="77777777" w:rsidR="00B34B59" w:rsidRDefault="00B34B59" w:rsidP="00B34B59">
      <w:pPr>
        <w:spacing w:after="0" w:line="360" w:lineRule="auto"/>
        <w:rPr>
          <w:rFonts w:cs="Times New Roman"/>
          <w:bCs/>
          <w:szCs w:val="24"/>
        </w:rPr>
      </w:pPr>
    </w:p>
    <w:p w14:paraId="7E74D831" w14:textId="77777777" w:rsidR="00B34B59" w:rsidRDefault="00B34B59" w:rsidP="00B34B59">
      <w:pPr>
        <w:spacing w:after="0" w:line="360" w:lineRule="auto"/>
        <w:rPr>
          <w:rFonts w:cs="Times New Roman"/>
          <w:bCs/>
          <w:szCs w:val="24"/>
        </w:rPr>
      </w:pPr>
    </w:p>
    <w:p w14:paraId="6396D792" w14:textId="77777777" w:rsidR="00B34B59" w:rsidRPr="0075083C" w:rsidRDefault="00B34B59" w:rsidP="00B34B59">
      <w:pPr>
        <w:spacing w:after="0" w:line="360" w:lineRule="auto"/>
        <w:rPr>
          <w:rFonts w:cs="Times New Roman"/>
          <w:szCs w:val="24"/>
        </w:rPr>
      </w:pPr>
    </w:p>
    <w:p w14:paraId="2CD8DAFA" w14:textId="77777777" w:rsidR="008149C0" w:rsidRPr="0075083C" w:rsidRDefault="008149C0" w:rsidP="00B34B59">
      <w:pPr>
        <w:spacing w:after="0" w:line="360" w:lineRule="auto"/>
        <w:jc w:val="center"/>
        <w:rPr>
          <w:rFonts w:cs="Times New Roman"/>
          <w:szCs w:val="24"/>
        </w:rPr>
      </w:pPr>
      <w:r w:rsidRPr="0075083C">
        <w:rPr>
          <w:rFonts w:cs="Times New Roman"/>
          <w:szCs w:val="24"/>
        </w:rPr>
        <w:t>Cluj-Napoca</w:t>
      </w:r>
    </w:p>
    <w:p w14:paraId="1655619E" w14:textId="77777777" w:rsidR="008149C0" w:rsidRPr="0075083C" w:rsidRDefault="008149C0" w:rsidP="00B34B59">
      <w:pPr>
        <w:spacing w:after="0" w:line="360" w:lineRule="auto"/>
        <w:jc w:val="center"/>
        <w:rPr>
          <w:rFonts w:cs="Times New Roman"/>
          <w:szCs w:val="24"/>
        </w:rPr>
      </w:pPr>
      <w:r w:rsidRPr="0075083C">
        <w:rPr>
          <w:rFonts w:cs="Times New Roman"/>
          <w:szCs w:val="24"/>
        </w:rPr>
        <w:lastRenderedPageBreak/>
        <w:t>2026</w:t>
      </w:r>
    </w:p>
    <w:p w14:paraId="648EB819" w14:textId="77777777" w:rsidR="008149C0" w:rsidRDefault="008149C0" w:rsidP="00B34B59">
      <w:pPr>
        <w:pStyle w:val="NormalWeb"/>
        <w:spacing w:after="0" w:afterAutospacing="0" w:line="360" w:lineRule="auto"/>
        <w:jc w:val="center"/>
      </w:pPr>
      <w:r>
        <w:t>ACKNOWLEDGEMENTS</w:t>
      </w:r>
    </w:p>
    <w:p w14:paraId="52397EC8" w14:textId="77777777" w:rsidR="00B34B59" w:rsidRDefault="00B34B59" w:rsidP="00B34B59">
      <w:pPr>
        <w:pStyle w:val="NormalWeb"/>
        <w:spacing w:after="0" w:afterAutospacing="0" w:line="360" w:lineRule="auto"/>
        <w:jc w:val="center"/>
      </w:pPr>
    </w:p>
    <w:p w14:paraId="02C1A77C" w14:textId="77777777" w:rsidR="008149C0" w:rsidRDefault="008149C0" w:rsidP="00B34B59">
      <w:pPr>
        <w:pStyle w:val="NormalWeb"/>
        <w:spacing w:before="0" w:beforeAutospacing="0" w:after="0" w:afterAutospacing="0" w:line="360" w:lineRule="auto"/>
        <w:ind w:firstLine="720"/>
        <w:jc w:val="both"/>
      </w:pPr>
      <w:r>
        <w:t>I would like to express my deep gratitude to my PhD supervisor, Professor Daniel David, for five years of collaboration, characterised by clarity and a focus on what truly matters. I am deeply grateful to him for the fairness, rigour and professionalism that define his work, as well as for the example of diligence and high standards that he consistently sets. I would also like to thank him for believing in my ability to overcome theoretical barriers and put the ideas developed in this thesis into practice.</w:t>
      </w:r>
    </w:p>
    <w:p w14:paraId="5A42F7F1" w14:textId="77777777" w:rsidR="008149C0" w:rsidRDefault="008149C0" w:rsidP="00B34B59">
      <w:pPr>
        <w:pStyle w:val="NormalWeb"/>
        <w:spacing w:before="0" w:beforeAutospacing="0" w:after="0" w:afterAutospacing="0" w:line="360" w:lineRule="auto"/>
        <w:ind w:firstLine="720"/>
        <w:jc w:val="both"/>
      </w:pPr>
      <w:r>
        <w:t>I would also like to thank Professor Anca Dobrean, PhD, Professor Aurora Szentagotai, PhD, and Professor Oana David, PhD, for their academic guidance and for their help with organisational matters.</w:t>
      </w:r>
    </w:p>
    <w:p w14:paraId="562EC5B9" w14:textId="77777777" w:rsidR="008149C0" w:rsidRDefault="008149C0" w:rsidP="00B34B59">
      <w:pPr>
        <w:pStyle w:val="NormalWeb"/>
        <w:spacing w:before="0" w:beforeAutospacing="0" w:after="0" w:afterAutospacing="0" w:line="360" w:lineRule="auto"/>
        <w:ind w:firstLine="720"/>
        <w:jc w:val="both"/>
      </w:pPr>
      <w:r>
        <w:t>I am also grateful to my colleagues, Roxana Cardoș, Monica Bartucz and Andrei Patrichi. I would like to thank Roxana for her support at critical moments and for the structure she brought to my thesis. I would like to thank Monica for her unconditional support and for the attention she has given me, and I would like to thank Andrei for the intellectual freedom he has brought to this journey and for the way in which he has upheld the principles of science not only in academic work but also in everyday life. I would also like to thank all my colleagues with whom I have shared this experience in such a pleasant, humorous and respectful manner.</w:t>
      </w:r>
    </w:p>
    <w:p w14:paraId="5B642DA3" w14:textId="77777777" w:rsidR="008149C0" w:rsidRDefault="008149C0" w:rsidP="00B34B59">
      <w:pPr>
        <w:pStyle w:val="NormalWeb"/>
        <w:spacing w:before="0" w:beforeAutospacing="0" w:after="0" w:afterAutospacing="0" w:line="360" w:lineRule="auto"/>
        <w:ind w:firstLine="720"/>
        <w:jc w:val="both"/>
      </w:pPr>
    </w:p>
    <w:p w14:paraId="2D37A17B" w14:textId="77777777" w:rsidR="008149C0" w:rsidRDefault="008149C0" w:rsidP="00B34B59">
      <w:pPr>
        <w:pStyle w:val="NormalWeb"/>
        <w:spacing w:before="0" w:beforeAutospacing="0" w:after="0" w:afterAutospacing="0" w:line="360" w:lineRule="auto"/>
      </w:pPr>
      <w:r>
        <w:t>Notes___________________________</w:t>
      </w:r>
    </w:p>
    <w:p w14:paraId="4A3AA84D" w14:textId="77777777" w:rsidR="008149C0" w:rsidRDefault="008149C0" w:rsidP="00B34B59">
      <w:pPr>
        <w:pStyle w:val="NormalWeb"/>
        <w:spacing w:before="0" w:beforeAutospacing="0" w:after="0" w:afterAutospacing="0" w:line="360" w:lineRule="auto"/>
      </w:pPr>
      <w:r>
        <w:t>(1) By this note, Dana Cristolțan certifies that:</w:t>
      </w:r>
    </w:p>
    <w:p w14:paraId="475769CA" w14:textId="77777777" w:rsidR="008149C0" w:rsidRDefault="008149C0" w:rsidP="00B34B59">
      <w:pPr>
        <w:pStyle w:val="NormalWeb"/>
        <w:spacing w:before="0" w:beforeAutospacing="0" w:after="0" w:afterAutospacing="0" w:line="360" w:lineRule="auto"/>
      </w:pPr>
      <w:r>
        <w:t>(a) The thesis comprises Dana Cristolțan’s original research, carried out with a view to obtaining a doctoral degree;</w:t>
      </w:r>
    </w:p>
    <w:p w14:paraId="7F823FB9" w14:textId="77777777" w:rsidR="008149C0" w:rsidRDefault="008149C0" w:rsidP="00B34B59">
      <w:pPr>
        <w:pStyle w:val="NormalWeb"/>
        <w:spacing w:before="0" w:beforeAutospacing="0" w:after="0" w:afterAutospacing="0" w:line="360" w:lineRule="auto"/>
      </w:pPr>
      <w:r>
        <w:t>(b) Certain parts of the thesis have already been published, are in the process of being published or have been submitted for publication; the relevant citations for these publications have been included in the thesis. Other co-authors have been acknowledged in the publications where they contributed to the drafting of the published text, the interpretation of data, etc., their contribution being clearly explained in the footnotes of the thesis;</w:t>
      </w:r>
    </w:p>
    <w:p w14:paraId="42D39823" w14:textId="77777777" w:rsidR="008149C0" w:rsidRDefault="008149C0" w:rsidP="00B34B59">
      <w:pPr>
        <w:pStyle w:val="NormalWeb"/>
        <w:spacing w:before="0" w:beforeAutospacing="0" w:after="0" w:afterAutospacing="0" w:line="360" w:lineRule="auto"/>
      </w:pPr>
      <w:r>
        <w:lastRenderedPageBreak/>
        <w:t>(c) The thesis has been written in accordance with academic writing standards. The author of the thesis has included the relevant scientific references and citations in the text. The entire text of the thesis and its abstract have been written by Dana Cristolțan, who assumes full responsibility for the academic writing. Furthermore:</w:t>
      </w:r>
    </w:p>
    <w:p w14:paraId="4A806156" w14:textId="77777777" w:rsidR="008149C0" w:rsidRDefault="008149C0" w:rsidP="00B34B59">
      <w:pPr>
        <w:pStyle w:val="NormalWeb"/>
        <w:numPr>
          <w:ilvl w:val="0"/>
          <w:numId w:val="10"/>
        </w:numPr>
        <w:spacing w:before="0" w:beforeAutospacing="0" w:after="0" w:afterAutospacing="0" w:line="360" w:lineRule="auto"/>
      </w:pPr>
      <w:r>
        <w:t>Software for checking academic writing, available at</w:t>
      </w:r>
      <w:hyperlink r:id="rId10" w:history="1">
        <w:r>
          <w:rPr>
            <w:rStyle w:val="Hyperlink"/>
          </w:rPr>
          <w:t xml:space="preserve"> http://www.plagiarismdetector.com/</w:t>
        </w:r>
      </w:hyperlink>
      <w:r>
        <w:t>, was used; the thesis has passed the critical review;</w:t>
      </w:r>
    </w:p>
    <w:p w14:paraId="3A230C4A" w14:textId="77777777" w:rsidR="008149C0" w:rsidRDefault="008149C0" w:rsidP="00B34B59">
      <w:pPr>
        <w:pStyle w:val="NormalWeb"/>
        <w:numPr>
          <w:ilvl w:val="0"/>
          <w:numId w:val="10"/>
        </w:numPr>
        <w:spacing w:before="0" w:beforeAutospacing="0" w:after="0" w:afterAutospacing="0" w:line="360" w:lineRule="auto"/>
      </w:pPr>
      <w:r>
        <w:t>A copy of the research dataset/database has been submitted to the Department/Doctoral School.</w:t>
      </w:r>
    </w:p>
    <w:p w14:paraId="6D9B49DF" w14:textId="77777777" w:rsidR="008149C0" w:rsidRDefault="008149C0" w:rsidP="00B34B59">
      <w:pPr>
        <w:pStyle w:val="NormalWeb"/>
        <w:spacing w:before="0" w:beforeAutospacing="0" w:after="0" w:afterAutospacing="0" w:line="360" w:lineRule="auto"/>
      </w:pPr>
      <w:r>
        <w:t>Electronic signature and date for certification of marks:</w:t>
      </w:r>
    </w:p>
    <w:p w14:paraId="796DEBCA" w14:textId="77777777" w:rsidR="008149C0" w:rsidRDefault="008149C0" w:rsidP="00B34B59">
      <w:pPr>
        <w:pStyle w:val="NormalWeb"/>
        <w:spacing w:before="0" w:beforeAutospacing="0" w:after="0" w:afterAutospacing="0" w:line="360" w:lineRule="auto"/>
      </w:pPr>
      <w:r>
        <w:t>PhD student ____________________</w:t>
      </w:r>
    </w:p>
    <w:p w14:paraId="08FBA749" w14:textId="77777777" w:rsidR="008149C0" w:rsidRDefault="008149C0" w:rsidP="00B34B59">
      <w:pPr>
        <w:pStyle w:val="NormalWeb"/>
        <w:spacing w:before="0" w:beforeAutospacing="0" w:after="0" w:afterAutospacing="0" w:line="360" w:lineRule="auto"/>
      </w:pPr>
    </w:p>
    <w:p w14:paraId="394D5B95" w14:textId="77777777" w:rsidR="00B34B59" w:rsidRDefault="00B34B59" w:rsidP="00B34B59">
      <w:pPr>
        <w:pStyle w:val="NormalWeb"/>
        <w:spacing w:before="0" w:beforeAutospacing="0" w:after="0" w:afterAutospacing="0" w:line="360" w:lineRule="auto"/>
      </w:pPr>
    </w:p>
    <w:p w14:paraId="67BF4894" w14:textId="77777777" w:rsidR="00B34B59" w:rsidRDefault="00B34B59" w:rsidP="00B34B59">
      <w:pPr>
        <w:pStyle w:val="NormalWeb"/>
        <w:spacing w:before="0" w:beforeAutospacing="0" w:after="0" w:afterAutospacing="0" w:line="360" w:lineRule="auto"/>
      </w:pPr>
    </w:p>
    <w:p w14:paraId="305053B9" w14:textId="77777777" w:rsidR="00B34B59" w:rsidRDefault="00B34B59" w:rsidP="00B34B59">
      <w:pPr>
        <w:pStyle w:val="NormalWeb"/>
        <w:spacing w:before="0" w:beforeAutospacing="0" w:after="0" w:afterAutospacing="0" w:line="360" w:lineRule="auto"/>
      </w:pPr>
    </w:p>
    <w:p w14:paraId="14A8A0A6" w14:textId="77777777" w:rsidR="00B34B59" w:rsidRDefault="00B34B59" w:rsidP="00B34B59">
      <w:pPr>
        <w:pStyle w:val="NormalWeb"/>
        <w:spacing w:before="0" w:beforeAutospacing="0" w:after="0" w:afterAutospacing="0" w:line="360" w:lineRule="auto"/>
      </w:pPr>
    </w:p>
    <w:p w14:paraId="2427BBE0" w14:textId="77777777" w:rsidR="00B34B59" w:rsidRDefault="00B34B59" w:rsidP="00B34B59">
      <w:pPr>
        <w:pStyle w:val="NormalWeb"/>
        <w:spacing w:before="0" w:beforeAutospacing="0" w:after="0" w:afterAutospacing="0" w:line="360" w:lineRule="auto"/>
      </w:pPr>
    </w:p>
    <w:p w14:paraId="235F435D" w14:textId="77777777" w:rsidR="00B34B59" w:rsidRDefault="00B34B59" w:rsidP="00B34B59">
      <w:pPr>
        <w:pStyle w:val="NormalWeb"/>
        <w:spacing w:before="0" w:beforeAutospacing="0" w:after="0" w:afterAutospacing="0" w:line="360" w:lineRule="auto"/>
      </w:pPr>
    </w:p>
    <w:p w14:paraId="18A80919" w14:textId="77777777" w:rsidR="00B34B59" w:rsidRDefault="00B34B59" w:rsidP="00B34B59">
      <w:pPr>
        <w:pStyle w:val="NormalWeb"/>
        <w:spacing w:before="0" w:beforeAutospacing="0" w:after="0" w:afterAutospacing="0" w:line="360" w:lineRule="auto"/>
      </w:pPr>
    </w:p>
    <w:p w14:paraId="0171D469" w14:textId="77777777" w:rsidR="00B34B59" w:rsidRDefault="00B34B59" w:rsidP="00B34B59">
      <w:pPr>
        <w:pStyle w:val="NormalWeb"/>
        <w:spacing w:before="0" w:beforeAutospacing="0" w:after="0" w:afterAutospacing="0" w:line="360" w:lineRule="auto"/>
      </w:pPr>
    </w:p>
    <w:p w14:paraId="06EE68D6" w14:textId="77777777" w:rsidR="00B34B59" w:rsidRDefault="00B34B59" w:rsidP="00B34B59">
      <w:pPr>
        <w:pStyle w:val="NormalWeb"/>
        <w:spacing w:before="0" w:beforeAutospacing="0" w:after="0" w:afterAutospacing="0" w:line="360" w:lineRule="auto"/>
      </w:pPr>
    </w:p>
    <w:p w14:paraId="03387F10" w14:textId="77777777" w:rsidR="00B34B59" w:rsidRDefault="00B34B59" w:rsidP="00B34B59">
      <w:pPr>
        <w:pStyle w:val="NormalWeb"/>
        <w:spacing w:before="0" w:beforeAutospacing="0" w:after="0" w:afterAutospacing="0" w:line="360" w:lineRule="auto"/>
      </w:pPr>
    </w:p>
    <w:p w14:paraId="296F32F6" w14:textId="77777777" w:rsidR="00B34B59" w:rsidRDefault="00B34B59" w:rsidP="00B34B59">
      <w:pPr>
        <w:pStyle w:val="NormalWeb"/>
        <w:spacing w:before="0" w:beforeAutospacing="0" w:after="0" w:afterAutospacing="0" w:line="360" w:lineRule="auto"/>
      </w:pPr>
    </w:p>
    <w:p w14:paraId="2A02D4A9" w14:textId="77777777" w:rsidR="00B34B59" w:rsidRDefault="00B34B59" w:rsidP="00B34B59">
      <w:pPr>
        <w:pStyle w:val="NormalWeb"/>
        <w:spacing w:before="0" w:beforeAutospacing="0" w:after="0" w:afterAutospacing="0" w:line="360" w:lineRule="auto"/>
      </w:pPr>
    </w:p>
    <w:p w14:paraId="49A51C97" w14:textId="77777777" w:rsidR="00B34B59" w:rsidRDefault="00B34B59" w:rsidP="00B34B59">
      <w:pPr>
        <w:pStyle w:val="NormalWeb"/>
        <w:spacing w:before="0" w:beforeAutospacing="0" w:after="0" w:afterAutospacing="0" w:line="360" w:lineRule="auto"/>
      </w:pPr>
    </w:p>
    <w:p w14:paraId="5E46B019" w14:textId="77777777" w:rsidR="00B34B59" w:rsidRDefault="00B34B59" w:rsidP="00B34B59">
      <w:pPr>
        <w:pStyle w:val="NormalWeb"/>
        <w:spacing w:before="0" w:beforeAutospacing="0" w:after="0" w:afterAutospacing="0" w:line="360" w:lineRule="auto"/>
      </w:pPr>
    </w:p>
    <w:p w14:paraId="58DE8C24" w14:textId="77777777" w:rsidR="00B34B59" w:rsidRDefault="00B34B59" w:rsidP="00B34B59">
      <w:pPr>
        <w:pStyle w:val="NormalWeb"/>
        <w:spacing w:before="0" w:beforeAutospacing="0" w:after="0" w:afterAutospacing="0" w:line="360" w:lineRule="auto"/>
      </w:pPr>
    </w:p>
    <w:p w14:paraId="6CB331D8" w14:textId="77777777" w:rsidR="00B34B59" w:rsidRDefault="00B34B59" w:rsidP="00B34B59">
      <w:pPr>
        <w:pStyle w:val="NormalWeb"/>
        <w:spacing w:before="0" w:beforeAutospacing="0" w:after="0" w:afterAutospacing="0" w:line="360" w:lineRule="auto"/>
      </w:pPr>
    </w:p>
    <w:p w14:paraId="318C1378" w14:textId="77777777" w:rsidR="00B34B59" w:rsidRDefault="00B34B59" w:rsidP="00B34B59">
      <w:pPr>
        <w:pStyle w:val="NormalWeb"/>
        <w:spacing w:before="0" w:beforeAutospacing="0" w:after="0" w:afterAutospacing="0" w:line="360" w:lineRule="auto"/>
      </w:pPr>
    </w:p>
    <w:p w14:paraId="65D3C0ED" w14:textId="77777777" w:rsidR="00B34B59" w:rsidRDefault="00B34B59" w:rsidP="00B34B59">
      <w:pPr>
        <w:pStyle w:val="NormalWeb"/>
        <w:spacing w:before="0" w:beforeAutospacing="0" w:after="0" w:afterAutospacing="0" w:line="360" w:lineRule="auto"/>
      </w:pPr>
    </w:p>
    <w:p w14:paraId="079D383E" w14:textId="77777777" w:rsidR="00B34B59" w:rsidRDefault="00B34B59" w:rsidP="00B34B59">
      <w:pPr>
        <w:pStyle w:val="NormalWeb"/>
        <w:spacing w:before="0" w:beforeAutospacing="0" w:after="0" w:afterAutospacing="0" w:line="360" w:lineRule="auto"/>
      </w:pPr>
    </w:p>
    <w:p w14:paraId="35834478" w14:textId="77777777" w:rsidR="00B34B59" w:rsidRDefault="00B34B59" w:rsidP="00B34B59">
      <w:pPr>
        <w:pStyle w:val="NormalWeb"/>
        <w:spacing w:before="0" w:beforeAutospacing="0" w:after="0" w:afterAutospacing="0" w:line="360" w:lineRule="auto"/>
      </w:pPr>
    </w:p>
    <w:p w14:paraId="07E66DF0" w14:textId="77777777" w:rsidR="00B34B59" w:rsidRDefault="00B34B59" w:rsidP="00B34B59">
      <w:pPr>
        <w:pStyle w:val="NormalWeb"/>
        <w:spacing w:before="0" w:beforeAutospacing="0" w:after="0" w:afterAutospacing="0" w:line="360" w:lineRule="auto"/>
      </w:pPr>
    </w:p>
    <w:p w14:paraId="2E144876" w14:textId="77777777" w:rsidR="00B34B59" w:rsidRDefault="00B34B59" w:rsidP="00B34B59">
      <w:pPr>
        <w:pStyle w:val="NormalWeb"/>
        <w:spacing w:before="0" w:beforeAutospacing="0" w:after="0" w:afterAutospacing="0" w:line="360" w:lineRule="auto"/>
      </w:pPr>
    </w:p>
    <w:p w14:paraId="5B2C9A27" w14:textId="77777777" w:rsidR="00B34B59" w:rsidRDefault="00B34B59" w:rsidP="00B34B59">
      <w:pPr>
        <w:pStyle w:val="NormalWeb"/>
        <w:spacing w:before="0" w:beforeAutospacing="0" w:after="0" w:afterAutospacing="0" w:line="360" w:lineRule="auto"/>
      </w:pPr>
    </w:p>
    <w:p w14:paraId="5922A85A" w14:textId="77777777" w:rsidR="00762E5F" w:rsidRPr="008149C0" w:rsidRDefault="004B6DA2" w:rsidP="004B6DA2">
      <w:pPr>
        <w:pStyle w:val="Heading1"/>
        <w:spacing w:after="0" w:line="360" w:lineRule="auto"/>
        <w:jc w:val="center"/>
        <w:rPr>
          <w:color w:val="000000" w:themeColor="text1"/>
        </w:rPr>
      </w:pPr>
      <w:r>
        <w:rPr>
          <w:rFonts w:ascii="Times New Roman" w:eastAsia="Times New Roman" w:hAnsi="Times New Roman"/>
          <w:color w:val="000000" w:themeColor="text1"/>
        </w:rPr>
        <w:t>TABLE OF CONTENTS</w:t>
      </w:r>
    </w:p>
    <w:p w14:paraId="21A16AE6" w14:textId="77777777" w:rsidR="00762E5F" w:rsidRDefault="00000000" w:rsidP="00B34B59">
      <w:pPr>
        <w:spacing w:after="0" w:line="360" w:lineRule="auto"/>
      </w:pPr>
      <w:r>
        <w:rPr>
          <w:b/>
        </w:rPr>
        <w:t>CHAPTER I. THEORETICAL FRAMEWORK</w:t>
      </w:r>
    </w:p>
    <w:p w14:paraId="488ECA1A" w14:textId="77777777" w:rsidR="00762E5F" w:rsidRDefault="00000000" w:rsidP="00B34B59">
      <w:pPr>
        <w:spacing w:after="0" w:line="360" w:lineRule="auto"/>
      </w:pPr>
      <w:r>
        <w:t>1.1. General framework</w:t>
      </w:r>
    </w:p>
    <w:p w14:paraId="28EC2B67" w14:textId="77777777" w:rsidR="00762E5F" w:rsidRDefault="00000000" w:rsidP="00B34B59">
      <w:pPr>
        <w:spacing w:after="0" w:line="360" w:lineRule="auto"/>
      </w:pPr>
      <w:r>
        <w:t>1.2. The therapeutic relationship from an evidence-based perspective</w:t>
      </w:r>
    </w:p>
    <w:p w14:paraId="0749CDBC" w14:textId="77777777" w:rsidR="00762E5F" w:rsidRDefault="00000000" w:rsidP="00B34B59">
      <w:pPr>
        <w:spacing w:after="0" w:line="360" w:lineRule="auto"/>
      </w:pPr>
      <w:r>
        <w:t>1.3. The training of future psychotherapists and evidence-based practice</w:t>
      </w:r>
    </w:p>
    <w:p w14:paraId="35666B6E" w14:textId="77777777" w:rsidR="00762E5F" w:rsidRDefault="00000000" w:rsidP="00B34B59">
      <w:pPr>
        <w:spacing w:after="0" w:line="360" w:lineRule="auto"/>
        <w:jc w:val="both"/>
      </w:pPr>
      <w:r>
        <w:t>1.4. Virtual reality in psychological interventions and training programmes</w:t>
      </w:r>
    </w:p>
    <w:p w14:paraId="35343566" w14:textId="77777777" w:rsidR="00762E5F" w:rsidRDefault="00000000" w:rsidP="00B34B59">
      <w:pPr>
        <w:spacing w:after="0" w:line="360" w:lineRule="auto"/>
      </w:pPr>
      <w:r>
        <w:t>1.5. Presence and positive affect in virtual reality-based interventions</w:t>
      </w:r>
    </w:p>
    <w:p w14:paraId="2EF16D1C" w14:textId="77777777" w:rsidR="00762E5F" w:rsidRDefault="00000000" w:rsidP="00B34B59">
      <w:pPr>
        <w:spacing w:after="0" w:line="360" w:lineRule="auto"/>
      </w:pPr>
      <w:r>
        <w:rPr>
          <w:b/>
        </w:rPr>
        <w:t>CHAPTER II. RESEARCH OBJECTIVES AND GENERAL METHODOLOGICAL STRATEGY</w:t>
      </w:r>
    </w:p>
    <w:p w14:paraId="7EF3A9F4" w14:textId="77777777" w:rsidR="00762E5F" w:rsidRDefault="00000000" w:rsidP="00B34B59">
      <w:pPr>
        <w:spacing w:after="0" w:line="360" w:lineRule="auto"/>
      </w:pPr>
      <w:r>
        <w:rPr>
          <w:b/>
        </w:rPr>
        <w:t>CHAPTER III. ORIGINAL RESEARCH</w:t>
      </w:r>
    </w:p>
    <w:p w14:paraId="64CBED39" w14:textId="77777777" w:rsidR="00762E5F" w:rsidRPr="00CC72B5" w:rsidRDefault="00000000" w:rsidP="00B34B59">
      <w:pPr>
        <w:spacing w:after="0" w:line="360" w:lineRule="auto"/>
        <w:jc w:val="both"/>
        <w:rPr>
          <w:bCs/>
        </w:rPr>
      </w:pPr>
      <w:r w:rsidRPr="00CC72B5">
        <w:rPr>
          <w:bCs/>
        </w:rPr>
        <w:t>3.1. Study 1. The effect of virtual reality-based psychological interventions on positive affect: a systematic review and meta-analysis</w:t>
      </w:r>
    </w:p>
    <w:p w14:paraId="7E58A002" w14:textId="77777777" w:rsidR="00762E5F" w:rsidRPr="00CC72B5" w:rsidRDefault="00000000" w:rsidP="00B34B59">
      <w:pPr>
        <w:spacing w:after="0" w:line="360" w:lineRule="auto"/>
        <w:jc w:val="both"/>
        <w:rPr>
          <w:bCs/>
        </w:rPr>
      </w:pPr>
      <w:r w:rsidRPr="00CC72B5">
        <w:rPr>
          <w:bCs/>
        </w:rPr>
        <w:t xml:space="preserve">3.2. Study 2. The feasibility and usability of a VR training programme for </w:t>
      </w:r>
      <w:r w:rsidR="008149C0" w:rsidRPr="00CC72B5">
        <w:rPr>
          <w:bCs/>
        </w:rPr>
        <w:t xml:space="preserve">therapeutic relationship skills </w:t>
      </w:r>
      <w:r w:rsidRPr="00CC72B5">
        <w:rPr>
          <w:bCs/>
        </w:rPr>
        <w:t>among trainee psychotherapists: a pilot study</w:t>
      </w:r>
    </w:p>
    <w:p w14:paraId="28FF7A0B" w14:textId="77777777" w:rsidR="00762E5F" w:rsidRPr="00CC72B5" w:rsidRDefault="00000000" w:rsidP="00B34B59">
      <w:pPr>
        <w:spacing w:after="0" w:line="360" w:lineRule="auto"/>
        <w:jc w:val="both"/>
        <w:rPr>
          <w:bCs/>
        </w:rPr>
      </w:pPr>
      <w:r w:rsidRPr="00CC72B5">
        <w:rPr>
          <w:bCs/>
        </w:rPr>
        <w:t xml:space="preserve">3.3. Study 3. Translation and validation of the Romanian version of </w:t>
      </w:r>
      <w:r w:rsidRPr="00B34B59">
        <w:rPr>
          <w:bCs/>
          <w:iCs/>
        </w:rPr>
        <w:t xml:space="preserve">the ITC-Sense of Presence Inventory (ITC-SOPI) </w:t>
      </w:r>
      <w:r w:rsidRPr="00CC72B5">
        <w:rPr>
          <w:bCs/>
        </w:rPr>
        <w:t>for assessing presence in virtual reality</w:t>
      </w:r>
    </w:p>
    <w:p w14:paraId="6BF9C1A6" w14:textId="77777777" w:rsidR="00762E5F" w:rsidRPr="00CC72B5" w:rsidRDefault="00000000" w:rsidP="00B34B59">
      <w:pPr>
        <w:spacing w:after="0" w:line="360" w:lineRule="auto"/>
        <w:jc w:val="both"/>
        <w:rPr>
          <w:bCs/>
        </w:rPr>
      </w:pPr>
      <w:r w:rsidRPr="00CC72B5">
        <w:rPr>
          <w:bCs/>
        </w:rPr>
        <w:t xml:space="preserve">3.4. Study 4. Virtual reality-based training for the development of </w:t>
      </w:r>
      <w:r w:rsidR="008149C0" w:rsidRPr="00CC72B5">
        <w:rPr>
          <w:bCs/>
        </w:rPr>
        <w:t>therapeutic relationship</w:t>
      </w:r>
      <w:r w:rsidRPr="00CC72B5">
        <w:rPr>
          <w:bCs/>
        </w:rPr>
        <w:t xml:space="preserve"> skills in trainee psychotherapists: </w:t>
      </w:r>
      <w:r w:rsidR="00867D79" w:rsidRPr="00CC72B5">
        <w:rPr>
          <w:bCs/>
        </w:rPr>
        <w:t xml:space="preserve">a randomised </w:t>
      </w:r>
      <w:r w:rsidR="008149C0" w:rsidRPr="00CC72B5">
        <w:rPr>
          <w:bCs/>
        </w:rPr>
        <w:t>controlled pilot study</w:t>
      </w:r>
    </w:p>
    <w:p w14:paraId="6786EC59" w14:textId="77777777" w:rsidR="00762E5F" w:rsidRDefault="00000000" w:rsidP="00B34B59">
      <w:pPr>
        <w:spacing w:after="0" w:line="360" w:lineRule="auto"/>
      </w:pPr>
      <w:r>
        <w:rPr>
          <w:b/>
        </w:rPr>
        <w:t>CHAPTER IV. GENERAL DISCUSSION: CONCLUSIONS AND IMPLICATIONS</w:t>
      </w:r>
    </w:p>
    <w:p w14:paraId="3E25F3AA" w14:textId="77777777" w:rsidR="00762E5F" w:rsidRPr="004B6DA2" w:rsidRDefault="00000000" w:rsidP="00B34B59">
      <w:pPr>
        <w:spacing w:after="0" w:line="360" w:lineRule="auto"/>
        <w:rPr>
          <w:bCs/>
        </w:rPr>
      </w:pPr>
      <w:r w:rsidRPr="004B6DA2">
        <w:rPr>
          <w:bCs/>
        </w:rPr>
        <w:t>4.1. General conclusions</w:t>
      </w:r>
    </w:p>
    <w:p w14:paraId="510198B9" w14:textId="77777777" w:rsidR="00762E5F" w:rsidRPr="004B6DA2" w:rsidRDefault="00000000" w:rsidP="00B34B59">
      <w:pPr>
        <w:spacing w:after="0" w:line="360" w:lineRule="auto"/>
        <w:rPr>
          <w:bCs/>
        </w:rPr>
      </w:pPr>
      <w:r w:rsidRPr="004B6DA2">
        <w:rPr>
          <w:bCs/>
        </w:rPr>
        <w:t>4.2. Theoretical and conceptual implications</w:t>
      </w:r>
    </w:p>
    <w:p w14:paraId="454CD47D" w14:textId="77777777" w:rsidR="00762E5F" w:rsidRPr="004B6DA2" w:rsidRDefault="00000000" w:rsidP="00B34B59">
      <w:pPr>
        <w:spacing w:after="0" w:line="360" w:lineRule="auto"/>
        <w:rPr>
          <w:bCs/>
        </w:rPr>
      </w:pPr>
      <w:r w:rsidRPr="004B6DA2">
        <w:rPr>
          <w:bCs/>
        </w:rPr>
        <w:t>4.3. Clinical and practical implications</w:t>
      </w:r>
    </w:p>
    <w:p w14:paraId="2F808CBD" w14:textId="77777777" w:rsidR="00762E5F" w:rsidRPr="004B6DA2" w:rsidRDefault="00000000" w:rsidP="00B34B59">
      <w:pPr>
        <w:spacing w:after="0" w:line="360" w:lineRule="auto"/>
        <w:rPr>
          <w:bCs/>
        </w:rPr>
      </w:pPr>
      <w:r w:rsidRPr="004B6DA2">
        <w:rPr>
          <w:bCs/>
        </w:rPr>
        <w:t>4.4. Methodological innovations</w:t>
      </w:r>
    </w:p>
    <w:p w14:paraId="71A3F384" w14:textId="77777777" w:rsidR="00762E5F" w:rsidRPr="004B6DA2" w:rsidRDefault="00000000" w:rsidP="00B34B59">
      <w:pPr>
        <w:spacing w:after="0" w:line="360" w:lineRule="auto"/>
        <w:rPr>
          <w:bCs/>
        </w:rPr>
      </w:pPr>
      <w:r w:rsidRPr="004B6DA2">
        <w:rPr>
          <w:bCs/>
        </w:rPr>
        <w:t>4.5. Limitations and future directions</w:t>
      </w:r>
    </w:p>
    <w:p w14:paraId="39C20C62" w14:textId="77777777" w:rsidR="00762E5F" w:rsidRDefault="00000000" w:rsidP="00B34B59">
      <w:pPr>
        <w:spacing w:after="0" w:line="360" w:lineRule="auto"/>
        <w:rPr>
          <w:b/>
        </w:rPr>
      </w:pPr>
      <w:r>
        <w:rPr>
          <w:b/>
        </w:rPr>
        <w:t>SELECTED REFERENCES</w:t>
      </w:r>
    </w:p>
    <w:p w14:paraId="6461E823" w14:textId="77777777" w:rsidR="00867D79" w:rsidRDefault="00867D79" w:rsidP="00B34B59">
      <w:pPr>
        <w:spacing w:after="0" w:line="360" w:lineRule="auto"/>
      </w:pPr>
    </w:p>
    <w:p w14:paraId="1B136D12" w14:textId="77777777" w:rsidR="00D0698A" w:rsidRDefault="00000000" w:rsidP="00D0698A">
      <w:pPr>
        <w:spacing w:after="0" w:line="360" w:lineRule="auto"/>
        <w:jc w:val="both"/>
      </w:pPr>
      <w:r w:rsidRPr="00867D79">
        <w:rPr>
          <w:b/>
          <w:bCs/>
        </w:rPr>
        <w:t xml:space="preserve">Keywords: </w:t>
      </w:r>
      <w:r>
        <w:t>virtual reality; therapeutic relationship; psychotherapist training; empathy; therapeutic alliance; presence; positive affect</w:t>
      </w:r>
      <w:r w:rsidR="00D0698A">
        <w:t>.</w:t>
      </w:r>
    </w:p>
    <w:p w14:paraId="534C03A9" w14:textId="77777777" w:rsidR="00D0698A" w:rsidRDefault="00D0698A" w:rsidP="00D0698A">
      <w:pPr>
        <w:spacing w:after="0" w:line="360" w:lineRule="auto"/>
        <w:jc w:val="both"/>
      </w:pPr>
    </w:p>
    <w:p w14:paraId="2635461C" w14:textId="77777777" w:rsidR="00D0698A" w:rsidRDefault="00D0698A" w:rsidP="00D0698A">
      <w:pPr>
        <w:spacing w:after="0" w:line="360" w:lineRule="auto"/>
        <w:jc w:val="both"/>
      </w:pPr>
    </w:p>
    <w:p w14:paraId="64CF603C" w14:textId="77777777" w:rsidR="00D0698A" w:rsidRDefault="00D0698A" w:rsidP="00D0698A">
      <w:pPr>
        <w:spacing w:after="0" w:line="360" w:lineRule="auto"/>
        <w:jc w:val="both"/>
      </w:pPr>
    </w:p>
    <w:p w14:paraId="02ABC341" w14:textId="77777777" w:rsidR="00762E5F" w:rsidRDefault="00D0698A" w:rsidP="004B6DA2">
      <w:pPr>
        <w:pStyle w:val="Heading1"/>
        <w:spacing w:before="0" w:after="0" w:line="360" w:lineRule="auto"/>
        <w:jc w:val="center"/>
        <w:rPr>
          <w:rFonts w:ascii="Times New Roman" w:eastAsia="Times New Roman" w:hAnsi="Times New Roman"/>
          <w:color w:val="000000" w:themeColor="text1"/>
        </w:rPr>
      </w:pPr>
      <w:r w:rsidRPr="00867D79">
        <w:rPr>
          <w:rFonts w:ascii="Times New Roman" w:eastAsia="Times New Roman" w:hAnsi="Times New Roman"/>
          <w:color w:val="000000" w:themeColor="text1"/>
        </w:rPr>
        <w:t>CHAPTER I. THEORETICAL FRAMEWORK</w:t>
      </w:r>
    </w:p>
    <w:p w14:paraId="126E45D8" w14:textId="77777777" w:rsidR="00D0698A" w:rsidRPr="00D0698A" w:rsidRDefault="00D0698A" w:rsidP="00D0698A"/>
    <w:p w14:paraId="2B7A2FE9" w14:textId="77777777" w:rsidR="00725B35" w:rsidRPr="00725B35" w:rsidRDefault="00725B35" w:rsidP="004B6DA2">
      <w:pPr>
        <w:pStyle w:val="isselectedend"/>
        <w:spacing w:before="0" w:beforeAutospacing="0" w:after="0" w:afterAutospacing="0" w:line="360" w:lineRule="auto"/>
        <w:jc w:val="both"/>
        <w:rPr>
          <w:i/>
          <w:iCs/>
        </w:rPr>
      </w:pPr>
      <w:r>
        <w:tab/>
        <w:t xml:space="preserve">This thesis integrates three major areas of research: clinical psychology and evidence-based psychotherapy, the professional training of future psychotherapists, and the use of virtual reality in psychology. These three strands converge on an applied question: to what extent can a virtual environment support the development of relational skills relevant to psychotherapeutic practice? The main objective of the thesis is the design and empirical evaluation of the </w:t>
      </w:r>
      <w:r>
        <w:rPr>
          <w:i/>
          <w:iCs/>
        </w:rPr>
        <w:t xml:space="preserve">Future Psychotherapists </w:t>
      </w:r>
      <w:r>
        <w:t>application</w:t>
      </w:r>
      <w:r>
        <w:rPr>
          <w:i/>
          <w:iCs/>
        </w:rPr>
        <w:t>.</w:t>
      </w:r>
    </w:p>
    <w:p w14:paraId="098CD038" w14:textId="77777777" w:rsidR="00725B35" w:rsidRDefault="00725B35" w:rsidP="004B6DA2">
      <w:pPr>
        <w:pStyle w:val="isselectedend"/>
        <w:spacing w:before="0" w:beforeAutospacing="0" w:after="0" w:afterAutospacing="0" w:line="360" w:lineRule="auto"/>
        <w:jc w:val="both"/>
      </w:pPr>
      <w:r>
        <w:tab/>
        <w:t>The first theoretical foundation relating to this question is provided by the literature on the therapeutic relationship. In contemporary psychotherapy, the therapeutic relationship is no longer viewed as an ancillary element of treatment, but as a distinct component of the therapeutic process, which influences both the conduct of psychotherapy and its outcomes (Gelso, 2014). Evidence-based research has shown that the relationship between therapist and client contributes significantly to the outcome of psychotherapy (Norcross &amp; Karpiak, 2025). As such, it is conceptualised as a trans-theoretical and, to a large extent, trans-diagnostic factor, as it remains relevant across a variety of clinical contexts and for different psychological problems (Norcross &amp; Karpiak, 2025).</w:t>
      </w:r>
    </w:p>
    <w:p w14:paraId="7A1CAE43" w14:textId="77777777" w:rsidR="00725B35" w:rsidRDefault="00725B35" w:rsidP="00B34B59">
      <w:pPr>
        <w:pStyle w:val="isselectedend"/>
        <w:spacing w:before="0" w:beforeAutospacing="0" w:after="0" w:afterAutospacing="0" w:line="360" w:lineRule="auto"/>
        <w:jc w:val="both"/>
      </w:pPr>
      <w:r>
        <w:tab/>
        <w:t>In a broad sense, the therapeutic relationship encompasses the interpersonal attitudes and affective responses that arise between the psychotherapist and the client, as well as the ways in which these are conveyed in clinical interaction (Gelso &amp; Carter, 1985; Gelso, 2014; Norcross &amp; Lambert, 2018). This definition emphasises the relational nature of psychotherapy and the fact that change does not occur solely through isolated techniques, but within a relationship in which the client feels understood, supported and involved in the therapeutic work. In this context, empathy and the therapeutic alliance are central components through which the therapeutic relationship is expressed in psychotherapeutic practice (Norcross, 2011; Norcross &amp; Lambert, 2018).</w:t>
      </w:r>
    </w:p>
    <w:p w14:paraId="395629D7" w14:textId="77777777" w:rsidR="00725B35" w:rsidRDefault="00725B35" w:rsidP="00B34B59">
      <w:pPr>
        <w:pStyle w:val="isselectedend"/>
        <w:spacing w:before="0" w:beforeAutospacing="0" w:after="0" w:afterAutospacing="0" w:line="360" w:lineRule="auto"/>
        <w:jc w:val="both"/>
      </w:pPr>
      <w:r>
        <w:tab/>
        <w:t xml:space="preserve">The psychotherapist’s empathy refers to the ability to understand the client’s thoughts, emotions, motivations or behaviours from the client’s perspective (American Psychological Association, 2023). In psychotherapy, the therapist’s empathy is associated with the outcome of psychotherapy (Elliott et al., 2018), and clinical empathy has been described as playing important roles in understanding the client, communicating ethical obligations and supporting change (Levitt </w:t>
      </w:r>
      <w:r>
        <w:lastRenderedPageBreak/>
        <w:t>et al., 2022). In the empirical studies of this thesis, empathy as a state is examined from the perspective of its dimensions (affective, cognitive and associative).</w:t>
      </w:r>
    </w:p>
    <w:p w14:paraId="398FED5B" w14:textId="77777777" w:rsidR="00725B35" w:rsidRDefault="00725B35" w:rsidP="00B34B59">
      <w:pPr>
        <w:pStyle w:val="isselectedend"/>
        <w:spacing w:before="0" w:beforeAutospacing="0" w:after="0" w:afterAutospacing="0" w:line="360" w:lineRule="auto"/>
        <w:jc w:val="both"/>
      </w:pPr>
      <w:r>
        <w:tab/>
        <w:t>The therapeutic alliance refers to the collaborative relationship between therapist and client and, in its classical formulation, comprises three components: agreement on the objectives of therapy, agreement on therapeutic tasks, and the development of an interpersonal bond (Bordin, 1979). Meta-analytical research has shown that the therapeutic alliance is consistently associated with the outcome of psychotherapy (Flückiger et al., 2018). In clinical practice, these dimensions are interdependent</w:t>
      </w:r>
      <w:r w:rsidR="00DB5015">
        <w:t xml:space="preserve">, and </w:t>
      </w:r>
      <w:r>
        <w:t>the therapist must help the client understand the purpose of the intervention, engage with the therapeutic tasks and feel secure within the relationship.</w:t>
      </w:r>
    </w:p>
    <w:p w14:paraId="61918423" w14:textId="77777777" w:rsidR="00725B35" w:rsidRDefault="00725B35" w:rsidP="00B34B59">
      <w:pPr>
        <w:pStyle w:val="isselectedend"/>
        <w:spacing w:before="0" w:beforeAutospacing="0" w:after="0" w:afterAutospacing="0" w:line="360" w:lineRule="auto"/>
        <w:jc w:val="both"/>
      </w:pPr>
      <w:r>
        <w:tab/>
        <w:t>The second theoretical foundation of this thesis stems from the specialist literature on the training of psychotherapists. This process involves not merely the accumulation of theoretical knowledge or the learning of techniques, but continuous professional development, which entails changes in vocational identity, capacity for self-reflection, emotional regulation, interpersonal functioning and the ability to integrate clinical knowledge, values and behaviours (Carlsson, 2012; Rønnestad et al., 2019). The training pathway is gradual: initially, trainee psychotherapists may experience enthusiasm, but also anxiety, doubts and a heightened need for structure; as they progress, clinical experience and supervision foster a more nuanced and autonomous understanding of psychotherapy (Carlsson, 2012; Rønnestad et al., 2019; Rønnestad et al., 2025).</w:t>
      </w:r>
    </w:p>
    <w:p w14:paraId="268728E1" w14:textId="77777777" w:rsidR="00725B35" w:rsidRDefault="00725B35" w:rsidP="00B34B59">
      <w:pPr>
        <w:pStyle w:val="isselectedend"/>
        <w:spacing w:before="0" w:beforeAutospacing="0" w:after="0" w:afterAutospacing="0" w:line="360" w:lineRule="auto"/>
        <w:jc w:val="both"/>
      </w:pPr>
      <w:r>
        <w:tab/>
        <w:t xml:space="preserve">The literature on psychotherapist training shows that active learning experiences are particularly important. Supervision, role-play, deliberate practice, analysis of interaction sequences, feedback and reflection can support the development of therapeutic skills more effectively than purely didactic formats (Rønning &amp; Bjørkly, 2019). From the perspective of evidence-based practice, training is more likely to change the therapist’s behaviour when it includes components of active learning, consultation and feedback (Beidas &amp; Kendall, 2010; Frank et al., 2020). This conclusion is relevant to the present thesis, as the </w:t>
      </w:r>
      <w:r>
        <w:rPr>
          <w:i/>
          <w:iCs/>
        </w:rPr>
        <w:t xml:space="preserve">Future Psychotherapists </w:t>
      </w:r>
      <w:r>
        <w:t>app was designed as a tool for structured practice rather than as passive informational material.</w:t>
      </w:r>
    </w:p>
    <w:p w14:paraId="2A380460" w14:textId="77777777" w:rsidR="00725B35" w:rsidRDefault="00725B35" w:rsidP="00B34B59">
      <w:pPr>
        <w:pStyle w:val="isselectedend"/>
        <w:spacing w:before="0" w:beforeAutospacing="0" w:after="0" w:afterAutospacing="0" w:line="360" w:lineRule="auto"/>
        <w:jc w:val="both"/>
      </w:pPr>
      <w:r>
        <w:tab/>
        <w:t xml:space="preserve">Furthermore, the core idea of this paper is also supported by a significant challenge in the training of future psychotherapists: the gap between theoretical knowledge and actual practice (Rosén, 2019). Students can learn concepts such as empathy or the therapeutic alliance, but they may have few safe contexts in which to practise therapeutic responses, make mistakes without clinical consequences, and receive immediate feedback. Role-play and working with standardised </w:t>
      </w:r>
      <w:r>
        <w:lastRenderedPageBreak/>
        <w:t>patients are useful methods, but they may involve costs, limited availability or variations in the standardisation of scenarios.</w:t>
      </w:r>
    </w:p>
    <w:p w14:paraId="420C9909" w14:textId="77777777" w:rsidR="00725B35" w:rsidRDefault="00DB5015" w:rsidP="00B34B59">
      <w:pPr>
        <w:pStyle w:val="isselectedend"/>
        <w:spacing w:before="0" w:beforeAutospacing="0" w:after="0" w:afterAutospacing="0" w:line="360" w:lineRule="auto"/>
        <w:jc w:val="both"/>
      </w:pPr>
      <w:r>
        <w:tab/>
      </w:r>
      <w:r w:rsidR="00725B35">
        <w:t>For this reason, virtual environments may represent a complementary solution, with the third theoretical foundation being provided by the specialist literature on virtual reality-based psychological interventions. Virtual reality enables the creation of immersive, controlled and repeatable environments in which users can interact with simulated situations. Virtual environments have been described as useful for learning situations that are difficult to implement in a real-world context due to distance, time, costs, risks or practical constraints (Chittaro &amp; Ranon, 2007). In psychology, VR has been used both in psychological interventions and in professional training contexts (Bell et al., 2020; Howard et al., 2021; Pedram &amp; Piatkowski, 2025).</w:t>
      </w:r>
    </w:p>
    <w:p w14:paraId="7857D704" w14:textId="77777777" w:rsidR="00725B35" w:rsidRDefault="00725B35" w:rsidP="00B34B59">
      <w:pPr>
        <w:pStyle w:val="isselectedend"/>
        <w:spacing w:before="0" w:beforeAutospacing="0" w:after="0" w:afterAutospacing="0" w:line="360" w:lineRule="auto"/>
        <w:jc w:val="both"/>
      </w:pPr>
      <w:r>
        <w:tab/>
        <w:t xml:space="preserve">At the same time, this thesis does not start from the assumption that any VR application is effective simply because it is immersive. The effectiveness of VR training depends on the fit between the learning task and the technology (Howard et al., 2021), on interactivity and pedagogical structure (Oje et al., 2025), as well as on </w:t>
      </w:r>
      <w:r w:rsidR="00DB5015">
        <w:t xml:space="preserve">mechanisms </w:t>
      </w:r>
      <w:r>
        <w:t>for assessment, feedback and analysis of the user’s actions (Tusher et al., 2024). Furthermore, visual realism is not sufficient in itself, as learning outcomes depend on the interaction between presence, affect and cognitive</w:t>
      </w:r>
      <w:r w:rsidR="00DB5015">
        <w:t xml:space="preserve"> load </w:t>
      </w:r>
      <w:r>
        <w:t>(Makransky &amp; Petersen, 2021).</w:t>
      </w:r>
    </w:p>
    <w:p w14:paraId="5CE0B21B" w14:textId="77777777" w:rsidR="00725B35" w:rsidRDefault="00725B35" w:rsidP="00B34B59">
      <w:pPr>
        <w:pStyle w:val="isselectedend"/>
        <w:spacing w:before="0" w:beforeAutospacing="0" w:after="0" w:afterAutospacing="0" w:line="360" w:lineRule="auto"/>
        <w:jc w:val="both"/>
      </w:pPr>
      <w:r>
        <w:tab/>
        <w:t>In the context of VR-based interventions and training programmes, two variables are of particular importance: presence and positive affect. Presence is the subjective experience of being situated within the virtual environment, involving a shift of attention from the physical world to the virtual environment (Kisker et al., 2021). The literature shows mixed results regarding the role of presence</w:t>
      </w:r>
      <w:r w:rsidR="00DB5015">
        <w:t>; it is</w:t>
      </w:r>
      <w:r>
        <w:t xml:space="preserve"> sometimes associated with engagement and learning outcomes, whilst at other times it enhances the subjective experience without producing objective improvements in performance (Ling et al., 2014; Makransky et al., 2019; Price &amp; Anderson, 2007; Yang et al., 2023).</w:t>
      </w:r>
    </w:p>
    <w:p w14:paraId="331DA72D" w14:textId="77777777" w:rsidR="00725B35" w:rsidRDefault="00725B35" w:rsidP="00B34B59">
      <w:pPr>
        <w:pStyle w:val="isselectedend"/>
        <w:spacing w:before="0" w:beforeAutospacing="0" w:after="0" w:afterAutospacing="0" w:line="360" w:lineRule="auto"/>
        <w:jc w:val="both"/>
      </w:pPr>
      <w:r>
        <w:tab/>
        <w:t xml:space="preserve">Positive </w:t>
      </w:r>
      <w:r w:rsidR="00A77F24">
        <w:t>affect</w:t>
      </w:r>
      <w:r>
        <w:t xml:space="preserve"> has been included in this thesis as it represents a relevant outcome of some VR interventions and may influence the learning experience. Positive emotions can facilitate engagement, exploration and the development of psychological resources (Fredrickson, 2001), and in technology-mediated educational environments, positive emotions are associated with more favourable learning outcomes (Loderer et al., 2020). However, previous research has reported mixed results regarding VR’s ability to increase positive affect, which is why the first study in this thesis was dedicated to a meta-analysis focusing exclusively on randomised controlled trials.</w:t>
      </w:r>
    </w:p>
    <w:p w14:paraId="13A33C5F" w14:textId="77777777" w:rsidR="00725B35" w:rsidRDefault="00725B35" w:rsidP="00B34B59">
      <w:pPr>
        <w:pStyle w:val="isselectedend"/>
        <w:spacing w:before="0" w:beforeAutospacing="0" w:after="0" w:afterAutospacing="0" w:line="360" w:lineRule="auto"/>
        <w:jc w:val="both"/>
      </w:pPr>
      <w:r>
        <w:lastRenderedPageBreak/>
        <w:tab/>
        <w:t xml:space="preserve">Overall, the theoretical framework of this thesis supports the relevance of developing a VR application designed to train therapeutic relationship skills, such as empathy and therapeutic alliance, as the therapeutic relationship is an important predictor of psychotherapy outcomes (Norcross &amp; Karpiak, 2025), future psychotherapists require active practice settings and feedback (Beidas &amp; Kendall, 2010; Frank et al., 2020; Rønning &amp; Bjørkly, 2019), </w:t>
      </w:r>
      <w:r w:rsidR="004A68E6">
        <w:t xml:space="preserve">and </w:t>
      </w:r>
      <w:r>
        <w:t xml:space="preserve">virtual reality </w:t>
      </w:r>
      <w:r w:rsidR="004A68E6">
        <w:t xml:space="preserve">provides </w:t>
      </w:r>
      <w:r>
        <w:t>a safe, controlled and repeatable environment for practising therapeutic responses (Chittaro &amp; Ranon, 2007; Howard et al., 2021).</w:t>
      </w:r>
    </w:p>
    <w:p w14:paraId="784FC5E0" w14:textId="77777777" w:rsidR="00725B35" w:rsidRDefault="00725B35" w:rsidP="00B34B59">
      <w:pPr>
        <w:pStyle w:val="NormalWeb"/>
        <w:spacing w:before="0" w:beforeAutospacing="0" w:after="0" w:afterAutospacing="0" w:line="360" w:lineRule="auto"/>
        <w:jc w:val="both"/>
      </w:pPr>
      <w:r>
        <w:tab/>
        <w:t>Consequently, this thesis aims to contribute to the intersection of evidence-based psychotherapy, professional training and immersive technologies. It seeks to demonstrate not only that VR can be used in a psychological context, but also that it can be designed as an educational tool with specific clinical objectives: the development of empathy and the ability to build a therapeutic alliance.</w:t>
      </w:r>
    </w:p>
    <w:p w14:paraId="27671983" w14:textId="77777777" w:rsidR="004A68E6" w:rsidRDefault="004A68E6" w:rsidP="00B34B59">
      <w:pPr>
        <w:pStyle w:val="NormalWeb"/>
        <w:spacing w:before="0" w:beforeAutospacing="0" w:after="0" w:afterAutospacing="0" w:line="360" w:lineRule="auto"/>
        <w:jc w:val="both"/>
      </w:pPr>
    </w:p>
    <w:p w14:paraId="394A893D" w14:textId="77777777" w:rsidR="00725B35" w:rsidRDefault="00725B35" w:rsidP="00B34B59">
      <w:pPr>
        <w:pStyle w:val="NormalWeb"/>
        <w:spacing w:before="0" w:beforeAutospacing="0" w:after="0" w:afterAutospacing="0" w:line="360" w:lineRule="auto"/>
        <w:jc w:val="both"/>
      </w:pPr>
    </w:p>
    <w:p w14:paraId="7B7FAA0B" w14:textId="77777777" w:rsidR="004A68E6" w:rsidRDefault="00000000" w:rsidP="004A68E6">
      <w:pPr>
        <w:pStyle w:val="Heading1"/>
        <w:spacing w:before="0" w:after="0" w:line="360" w:lineRule="auto"/>
        <w:jc w:val="center"/>
        <w:rPr>
          <w:rFonts w:ascii="Times New Roman" w:eastAsia="Times New Roman" w:hAnsi="Times New Roman"/>
          <w:color w:val="000000" w:themeColor="text1"/>
        </w:rPr>
      </w:pPr>
      <w:r w:rsidRPr="00543219">
        <w:rPr>
          <w:rFonts w:ascii="Times New Roman" w:eastAsia="Times New Roman" w:hAnsi="Times New Roman"/>
          <w:color w:val="000000" w:themeColor="text1"/>
        </w:rPr>
        <w:t>CHAPTER II. RESEARCH OBJECTIVES AND GENERAL METHODOLOGICAL STRATEGY</w:t>
      </w:r>
    </w:p>
    <w:p w14:paraId="6BAB73BC" w14:textId="77777777" w:rsidR="004A68E6" w:rsidRPr="004A68E6" w:rsidRDefault="004A68E6" w:rsidP="004A68E6"/>
    <w:p w14:paraId="2B83EA5C" w14:textId="77777777" w:rsidR="00762E5F" w:rsidRDefault="00543219" w:rsidP="00B34B59">
      <w:pPr>
        <w:spacing w:after="0" w:line="360" w:lineRule="auto"/>
        <w:jc w:val="both"/>
      </w:pPr>
      <w:r>
        <w:tab/>
        <w:t xml:space="preserve">The overall objective of the thesis was to develop and empirically evaluate a virtual reality application designed to train future psychotherapists in therapeutic relationship skills. This general objective was based on three lines of research: the importance of the therapeutic relationship for psychotherapy outcomes (Norcross &amp; Karpiak, 2025), the need </w:t>
      </w:r>
      <w:r w:rsidR="00725B35">
        <w:t>for</w:t>
      </w:r>
      <w:r>
        <w:t xml:space="preserve"> active methods and feedback in the training of psychotherapists (Beidas &amp; Kendall, 2010; Frank et al., 2020; Rønning &amp; Bjørkly, 2019) and the potential of virtual reality to provide immersive, controlled and repeatable training environments (Chittaro &amp; Ranon, 2007; Howard et al., 2021).</w:t>
      </w:r>
    </w:p>
    <w:p w14:paraId="7EC29705" w14:textId="77777777" w:rsidR="00762E5F" w:rsidRDefault="00543219" w:rsidP="00B34B59">
      <w:pPr>
        <w:spacing w:after="0" w:line="360" w:lineRule="auto"/>
        <w:jc w:val="both"/>
      </w:pPr>
      <w:r>
        <w:tab/>
        <w:t>The first specific objective of the thesis was to examine the effect of virtual reality-based psychological interventions on positive affect. This objective was important because positive affect is a relevant outcome for both psychological interventions and educational settings. Previous research indicates that positive affect is an outcome observed in some VR interventions, but with varying magnitude and consistency (Bolouki, 2024; Li Pira et al., 2023; Ma et al., 2023). To address this objective, a systematic review and meta-analysis was conducted of randomised controlled trials comparing VR interventions with non-VR conditions.</w:t>
      </w:r>
    </w:p>
    <w:p w14:paraId="0A28A596" w14:textId="77777777" w:rsidR="00762E5F" w:rsidRDefault="00543219" w:rsidP="00B34B59">
      <w:pPr>
        <w:spacing w:after="0" w:line="360" w:lineRule="auto"/>
        <w:jc w:val="both"/>
      </w:pPr>
      <w:r>
        <w:lastRenderedPageBreak/>
        <w:tab/>
        <w:t xml:space="preserve">The second specific objective focused on developing the </w:t>
      </w:r>
      <w:r>
        <w:rPr>
          <w:i/>
          <w:iCs/>
        </w:rPr>
        <w:t xml:space="preserve">Future Psychotherapists </w:t>
      </w:r>
      <w:r>
        <w:t xml:space="preserve">app and assessing its feasibility and usability in a sample of trainee psychotherapists. This objective was based on the literature showing that psychotherapist training benefits from experiential methods, structured practice, active learning, consultation and feedback (Beidas &amp; Kendall, 2010; Frank et al., 2020; Rønning &amp; Bjørkly, 2019). Furthermore, the literature on VR indicates that virtual environments can be useful for training when they are task-relevant, interactive and pedagogically structured (Garcia Fracaro et al., 2021; Howard et al., 2021; Oje et al., 2025). At this stage, the main focus was on establishing that the application can be used without significant increases in </w:t>
      </w:r>
      <w:r w:rsidR="00725B35">
        <w:t>simulator sickness</w:t>
      </w:r>
      <w:r>
        <w:t>, that it is perceived as easy to use, and that the cognitive load remains within a range compatible with learning.</w:t>
      </w:r>
    </w:p>
    <w:p w14:paraId="54652E41" w14:textId="77777777" w:rsidR="00762E5F" w:rsidRDefault="00725B35" w:rsidP="00B34B59">
      <w:pPr>
        <w:spacing w:after="0" w:line="360" w:lineRule="auto"/>
        <w:jc w:val="both"/>
      </w:pPr>
      <w:r>
        <w:tab/>
        <w:t xml:space="preserve">The third specific objective was the translation, cultural adaptation and psychometric evaluation of the Romanian version of </w:t>
      </w:r>
      <w:r>
        <w:rPr>
          <w:i/>
          <w:iCs/>
        </w:rPr>
        <w:t xml:space="preserve">the ITC-Sense of Presence Inventory </w:t>
      </w:r>
      <w:r w:rsidR="00DC4EFA">
        <w:t>(Lessiter et al., 2001)</w:t>
      </w:r>
      <w:r>
        <w:t xml:space="preserve">. This objective served a methodological purpose within the thesis. Presence is treated in the VR literature as a central experiential characteristic, distinct from the technical properties of immersion (Kisker et al., 2021; Lee, 2004; Slater &amp; Wilbur, 1997). In order to subsequently assess users’ experience of the VR application, a standardised instrument, adapted into Romanian, was required to measure the dimensions of presence and the negative effects of VR exposure. Study 3 addressed this need through the adaptation and psychometric evaluation of </w:t>
      </w:r>
      <w:r>
        <w:rPr>
          <w:i/>
        </w:rPr>
        <w:t xml:space="preserve">the ITC-SOPI </w:t>
      </w:r>
      <w:r>
        <w:t>(Lessiter et al., 2001).</w:t>
      </w:r>
    </w:p>
    <w:p w14:paraId="48AC4762" w14:textId="77777777" w:rsidR="00762E5F" w:rsidRDefault="00725B35" w:rsidP="00B34B59">
      <w:pPr>
        <w:spacing w:after="0" w:line="360" w:lineRule="auto"/>
        <w:jc w:val="both"/>
      </w:pPr>
      <w:r>
        <w:tab/>
        <w:t xml:space="preserve">The fourth specific objective was to test the efficacy of the </w:t>
      </w:r>
      <w:r>
        <w:rPr>
          <w:i/>
          <w:iCs/>
        </w:rPr>
        <w:t xml:space="preserve">Future Psychotherapists </w:t>
      </w:r>
      <w:r>
        <w:t xml:space="preserve">application through a randomised controlled pilot study. </w:t>
      </w:r>
      <w:r w:rsidR="00F11D52" w:rsidRPr="00F11D52">
        <w:t>This objective was based on the literature showing that empathy and the therapeutic alliance are important variables in the therapeutic relationship (Elliott et al., 2018; Flückiger et al., 2018), as well as from research suggesting that VR can support the development of empathy and therapeutic alliance, although the results are mixed with regard to empathy (Martingano et al., 2021; Ventura et al., 2020) and very few regarding therapeutic alliance trained in VR (Bloch-Elkouby et al., 2026; Kenny et al., 2007).</w:t>
      </w:r>
      <w:r w:rsidR="00F11D52">
        <w:t xml:space="preserve"> </w:t>
      </w:r>
      <w:r>
        <w:t>The study compared the VR intervention focused on empathy and therapeutic alliance with an active VR control condition, consisting of a virtual nature exploration experience.</w:t>
      </w:r>
    </w:p>
    <w:p w14:paraId="143B574A" w14:textId="77777777" w:rsidR="00762E5F" w:rsidRDefault="003B4388" w:rsidP="00B34B59">
      <w:pPr>
        <w:spacing w:after="0" w:line="360" w:lineRule="auto"/>
        <w:jc w:val="both"/>
      </w:pPr>
      <w:r>
        <w:tab/>
        <w:t xml:space="preserve">The methodological strategy of the thesis was sequential. First, the research clarified, through a meta-analysis, whether VR interventions can produce effects on positive affect. Next, the </w:t>
      </w:r>
      <w:r>
        <w:rPr>
          <w:i/>
          <w:iCs/>
        </w:rPr>
        <w:t xml:space="preserve">‘Future Psychotherapists’ </w:t>
      </w:r>
      <w:r>
        <w:t xml:space="preserve">application was developed and initially tested in terms of feasibility, usability and content validity. Subsequently, a presence measurement instrument was adapted into </w:t>
      </w:r>
      <w:r>
        <w:lastRenderedPageBreak/>
        <w:t>Romanian, as required for the evaluation of the VR experience. Finally, the application was tested in a randomised controlled trial to examine the effects on variables relevant to the therapeutic relationship.</w:t>
      </w:r>
    </w:p>
    <w:p w14:paraId="43907FCF" w14:textId="77777777" w:rsidR="00762E5F" w:rsidRDefault="003B4388" w:rsidP="00B34B59">
      <w:pPr>
        <w:spacing w:after="0" w:line="360" w:lineRule="auto"/>
        <w:jc w:val="both"/>
      </w:pPr>
      <w:r>
        <w:tab/>
      </w:r>
      <w:r w:rsidR="001B0682">
        <w:t xml:space="preserve">The conceptual structure of the thesis can be described as follows (Table 1): </w:t>
      </w:r>
      <w:r>
        <w:t>the general objective lies at the heart of the work, and the four studies contribute to its achievement in stages. Study 1 provides empirical justification for the relevance of VR and positive affect. Study 2 contributes to the development, content validation and assessment of the app’s usability and feasibility. Study 3 provides the methodological framework for measuring presence. Study 4 integrates the results of the previous stages and tests the application’s effectiveness on the targeted relational skills.</w:t>
      </w:r>
    </w:p>
    <w:p w14:paraId="1983FE72" w14:textId="77777777" w:rsidR="00762E5F" w:rsidRDefault="003B4388" w:rsidP="00B34B59">
      <w:pPr>
        <w:spacing w:after="0" w:line="360" w:lineRule="auto"/>
        <w:jc w:val="both"/>
      </w:pPr>
      <w:r>
        <w:tab/>
        <w:t>This methodological framework addresses a key requirement in applied research: before testing the effectiveness of an intervention, it is necessary to clarify the theoretical premises, establish technical and educational feasibility, ensure the appropriate measurement of relevant variables, and only then carry out a controlled evaluation of the effects. In this respect, the thesis proposes not merely an application, but a research programme constructed step by step, from a review of the literature to empirical testing.</w:t>
      </w:r>
    </w:p>
    <w:p w14:paraId="77C51182" w14:textId="77777777" w:rsidR="00164AFB" w:rsidRDefault="00164AFB" w:rsidP="00B34B59">
      <w:pPr>
        <w:spacing w:after="0" w:line="360" w:lineRule="auto"/>
        <w:jc w:val="both"/>
      </w:pPr>
    </w:p>
    <w:p w14:paraId="5E3DADF9" w14:textId="77777777" w:rsidR="0074640D" w:rsidRDefault="00164AFB" w:rsidP="00B34B59">
      <w:pPr>
        <w:spacing w:after="0" w:line="360" w:lineRule="auto"/>
        <w:jc w:val="both"/>
        <w:rPr>
          <w:i/>
          <w:iCs/>
        </w:rPr>
      </w:pPr>
      <w:r>
        <w:rPr>
          <w:b/>
          <w:bCs/>
        </w:rPr>
        <w:tab/>
      </w:r>
      <w:r w:rsidRPr="00164AFB">
        <w:rPr>
          <w:b/>
          <w:bCs/>
        </w:rPr>
        <w:t xml:space="preserve">Table 1. </w:t>
      </w:r>
      <w:r>
        <w:rPr>
          <w:i/>
          <w:iCs/>
        </w:rPr>
        <w:t xml:space="preserve">Conceptual </w:t>
      </w:r>
      <w:r w:rsidRPr="00164AFB">
        <w:rPr>
          <w:i/>
          <w:iCs/>
        </w:rPr>
        <w:t xml:space="preserve">structure </w:t>
      </w:r>
      <w:r>
        <w:rPr>
          <w:i/>
          <w:iCs/>
        </w:rPr>
        <w:t xml:space="preserve">of </w:t>
      </w:r>
      <w:r w:rsidRPr="00164AFB">
        <w:rPr>
          <w:i/>
          <w:iCs/>
        </w:rPr>
        <w:t>the thesis</w:t>
      </w:r>
    </w:p>
    <w:p w14:paraId="7F480C22" w14:textId="77777777" w:rsidR="00164AFB" w:rsidRDefault="00164AFB" w:rsidP="00B34B59">
      <w:pPr>
        <w:spacing w:after="0" w:line="360" w:lineRule="auto"/>
        <w:jc w:val="both"/>
        <w:rPr>
          <w:i/>
          <w:iCs/>
        </w:rPr>
      </w:pPr>
    </w:p>
    <w:tbl>
      <w:tblPr>
        <w:tblStyle w:val="TableGrid"/>
        <w:tblW w:w="0" w:type="auto"/>
        <w:jc w:val="center"/>
        <w:tblLook w:val="04A0" w:firstRow="1" w:lastRow="0" w:firstColumn="1" w:lastColumn="0" w:noHBand="0" w:noVBand="1"/>
      </w:tblPr>
      <w:tblGrid>
        <w:gridCol w:w="2293"/>
        <w:gridCol w:w="2387"/>
        <w:gridCol w:w="2356"/>
        <w:gridCol w:w="2360"/>
      </w:tblGrid>
      <w:tr w:rsidR="00762E5F" w14:paraId="7E3DA952" w14:textId="77777777">
        <w:trPr>
          <w:cantSplit/>
          <w:jc w:val="center"/>
        </w:trPr>
        <w:tc>
          <w:tcPr>
            <w:tcW w:w="2484" w:type="dxa"/>
            <w:vAlign w:val="center"/>
          </w:tcPr>
          <w:p w14:paraId="0A067D06" w14:textId="77777777" w:rsidR="00762E5F" w:rsidRDefault="00000000" w:rsidP="00B34B59">
            <w:pPr>
              <w:spacing w:after="0" w:line="360" w:lineRule="auto"/>
              <w:jc w:val="center"/>
            </w:pPr>
            <w:r>
              <w:rPr>
                <w:b/>
                <w:sz w:val="20"/>
              </w:rPr>
              <w:t>Study</w:t>
            </w:r>
          </w:p>
        </w:tc>
        <w:tc>
          <w:tcPr>
            <w:tcW w:w="2484" w:type="dxa"/>
            <w:vAlign w:val="center"/>
          </w:tcPr>
          <w:p w14:paraId="35F70EA5" w14:textId="77777777" w:rsidR="00762E5F" w:rsidRDefault="00000000" w:rsidP="00B34B59">
            <w:pPr>
              <w:spacing w:after="0" w:line="360" w:lineRule="auto"/>
              <w:jc w:val="center"/>
            </w:pPr>
            <w:r>
              <w:rPr>
                <w:b/>
                <w:sz w:val="20"/>
              </w:rPr>
              <w:t>Main objective</w:t>
            </w:r>
          </w:p>
        </w:tc>
        <w:tc>
          <w:tcPr>
            <w:tcW w:w="2484" w:type="dxa"/>
            <w:vAlign w:val="center"/>
          </w:tcPr>
          <w:p w14:paraId="61F9A402" w14:textId="77777777" w:rsidR="00762E5F" w:rsidRDefault="00000000" w:rsidP="00B34B59">
            <w:pPr>
              <w:spacing w:after="0" w:line="360" w:lineRule="auto"/>
              <w:jc w:val="center"/>
            </w:pPr>
            <w:r>
              <w:rPr>
                <w:b/>
                <w:sz w:val="20"/>
              </w:rPr>
              <w:t>Design</w:t>
            </w:r>
          </w:p>
        </w:tc>
        <w:tc>
          <w:tcPr>
            <w:tcW w:w="2484" w:type="dxa"/>
            <w:vAlign w:val="center"/>
          </w:tcPr>
          <w:p w14:paraId="4115D949" w14:textId="77777777" w:rsidR="00762E5F" w:rsidRDefault="00000000" w:rsidP="00B34B59">
            <w:pPr>
              <w:spacing w:after="0" w:line="360" w:lineRule="auto"/>
              <w:jc w:val="center"/>
            </w:pPr>
            <w:r>
              <w:rPr>
                <w:b/>
                <w:sz w:val="20"/>
              </w:rPr>
              <w:t>Contribution to the thesis</w:t>
            </w:r>
          </w:p>
        </w:tc>
      </w:tr>
      <w:tr w:rsidR="00762E5F" w14:paraId="4A6ADFAD" w14:textId="77777777">
        <w:trPr>
          <w:cantSplit/>
          <w:jc w:val="center"/>
        </w:trPr>
        <w:tc>
          <w:tcPr>
            <w:tcW w:w="2484" w:type="dxa"/>
            <w:vAlign w:val="center"/>
          </w:tcPr>
          <w:p w14:paraId="1E95ACE5" w14:textId="77777777" w:rsidR="00762E5F" w:rsidRDefault="00000000" w:rsidP="00B34B59">
            <w:pPr>
              <w:spacing w:after="0" w:line="360" w:lineRule="auto"/>
            </w:pPr>
            <w:r>
              <w:rPr>
                <w:sz w:val="20"/>
              </w:rPr>
              <w:t>Study 1</w:t>
            </w:r>
          </w:p>
        </w:tc>
        <w:tc>
          <w:tcPr>
            <w:tcW w:w="2484" w:type="dxa"/>
            <w:vAlign w:val="center"/>
          </w:tcPr>
          <w:p w14:paraId="6F169BA4" w14:textId="77777777" w:rsidR="00762E5F" w:rsidRDefault="00000000" w:rsidP="00B34B59">
            <w:pPr>
              <w:spacing w:after="0" w:line="360" w:lineRule="auto"/>
              <w:jc w:val="center"/>
            </w:pPr>
            <w:r>
              <w:rPr>
                <w:sz w:val="20"/>
              </w:rPr>
              <w:t>The effect of VR on positive affect</w:t>
            </w:r>
          </w:p>
        </w:tc>
        <w:tc>
          <w:tcPr>
            <w:tcW w:w="2484" w:type="dxa"/>
            <w:vAlign w:val="center"/>
          </w:tcPr>
          <w:p w14:paraId="515DC33C" w14:textId="77777777" w:rsidR="00762E5F" w:rsidRDefault="00000000" w:rsidP="00B34B59">
            <w:pPr>
              <w:spacing w:after="0" w:line="360" w:lineRule="auto"/>
              <w:jc w:val="center"/>
            </w:pPr>
            <w:r>
              <w:rPr>
                <w:sz w:val="20"/>
              </w:rPr>
              <w:t>Systematic review and meta-analysis of RCTs</w:t>
            </w:r>
          </w:p>
        </w:tc>
        <w:tc>
          <w:tcPr>
            <w:tcW w:w="2484" w:type="dxa"/>
            <w:vAlign w:val="center"/>
          </w:tcPr>
          <w:p w14:paraId="1517BAED" w14:textId="77777777" w:rsidR="00762E5F" w:rsidRDefault="00000000" w:rsidP="00B34B59">
            <w:pPr>
              <w:spacing w:after="0" w:line="360" w:lineRule="auto"/>
              <w:jc w:val="center"/>
            </w:pPr>
            <w:r>
              <w:rPr>
                <w:sz w:val="20"/>
              </w:rPr>
              <w:t>Justifies the relevance of positive affective experience in VR</w:t>
            </w:r>
          </w:p>
        </w:tc>
      </w:tr>
      <w:tr w:rsidR="00762E5F" w14:paraId="72BF2B72" w14:textId="77777777">
        <w:trPr>
          <w:cantSplit/>
          <w:jc w:val="center"/>
        </w:trPr>
        <w:tc>
          <w:tcPr>
            <w:tcW w:w="2484" w:type="dxa"/>
            <w:vAlign w:val="center"/>
          </w:tcPr>
          <w:p w14:paraId="0113D7ED" w14:textId="77777777" w:rsidR="00762E5F" w:rsidRDefault="00000000" w:rsidP="00B34B59">
            <w:pPr>
              <w:spacing w:after="0" w:line="360" w:lineRule="auto"/>
            </w:pPr>
            <w:r>
              <w:rPr>
                <w:sz w:val="20"/>
              </w:rPr>
              <w:t>Study 2</w:t>
            </w:r>
          </w:p>
        </w:tc>
        <w:tc>
          <w:tcPr>
            <w:tcW w:w="2484" w:type="dxa"/>
            <w:vAlign w:val="center"/>
          </w:tcPr>
          <w:p w14:paraId="714F5E09" w14:textId="77777777" w:rsidR="00762E5F" w:rsidRDefault="00000000" w:rsidP="00B34B59">
            <w:pPr>
              <w:spacing w:after="0" w:line="360" w:lineRule="auto"/>
              <w:jc w:val="center"/>
            </w:pPr>
            <w:r>
              <w:rPr>
                <w:sz w:val="20"/>
              </w:rPr>
              <w:t>Feasibility and usability of the application</w:t>
            </w:r>
          </w:p>
        </w:tc>
        <w:tc>
          <w:tcPr>
            <w:tcW w:w="2484" w:type="dxa"/>
            <w:vAlign w:val="center"/>
          </w:tcPr>
          <w:p w14:paraId="0CD76F4B" w14:textId="77777777" w:rsidR="00762E5F" w:rsidRDefault="00000000" w:rsidP="00B34B59">
            <w:pPr>
              <w:spacing w:after="0" w:line="360" w:lineRule="auto"/>
              <w:jc w:val="center"/>
            </w:pPr>
            <w:r>
              <w:rPr>
                <w:sz w:val="20"/>
              </w:rPr>
              <w:t>Pre-post, single-group pilot study</w:t>
            </w:r>
          </w:p>
        </w:tc>
        <w:tc>
          <w:tcPr>
            <w:tcW w:w="2484" w:type="dxa"/>
            <w:vAlign w:val="center"/>
          </w:tcPr>
          <w:p w14:paraId="3FD53E2D" w14:textId="77777777" w:rsidR="00762E5F" w:rsidRDefault="00000000" w:rsidP="00B34B59">
            <w:pPr>
              <w:spacing w:after="0" w:line="360" w:lineRule="auto"/>
              <w:jc w:val="center"/>
            </w:pPr>
            <w:r>
              <w:rPr>
                <w:sz w:val="20"/>
              </w:rPr>
              <w:t>Tests initial usability and content validity</w:t>
            </w:r>
          </w:p>
        </w:tc>
      </w:tr>
      <w:tr w:rsidR="00762E5F" w14:paraId="3916BA16" w14:textId="77777777">
        <w:trPr>
          <w:cantSplit/>
          <w:jc w:val="center"/>
        </w:trPr>
        <w:tc>
          <w:tcPr>
            <w:tcW w:w="2484" w:type="dxa"/>
            <w:vAlign w:val="center"/>
          </w:tcPr>
          <w:p w14:paraId="2AF2B238" w14:textId="77777777" w:rsidR="00762E5F" w:rsidRDefault="00000000" w:rsidP="00B34B59">
            <w:pPr>
              <w:spacing w:after="0" w:line="360" w:lineRule="auto"/>
            </w:pPr>
            <w:r>
              <w:rPr>
                <w:sz w:val="20"/>
              </w:rPr>
              <w:t>Study 3</w:t>
            </w:r>
          </w:p>
        </w:tc>
        <w:tc>
          <w:tcPr>
            <w:tcW w:w="2484" w:type="dxa"/>
            <w:vAlign w:val="center"/>
          </w:tcPr>
          <w:p w14:paraId="3BABE749" w14:textId="77777777" w:rsidR="00762E5F" w:rsidRDefault="00000000" w:rsidP="00B34B59">
            <w:pPr>
              <w:spacing w:after="0" w:line="360" w:lineRule="auto"/>
              <w:jc w:val="center"/>
            </w:pPr>
            <w:r>
              <w:rPr>
                <w:sz w:val="20"/>
              </w:rPr>
              <w:t xml:space="preserve">Adaptation of the </w:t>
            </w:r>
            <w:r>
              <w:rPr>
                <w:i/>
                <w:sz w:val="20"/>
              </w:rPr>
              <w:t xml:space="preserve">ITC-SOPI </w:t>
            </w:r>
            <w:r>
              <w:rPr>
                <w:sz w:val="20"/>
              </w:rPr>
              <w:t>into Romanian</w:t>
            </w:r>
          </w:p>
        </w:tc>
        <w:tc>
          <w:tcPr>
            <w:tcW w:w="2484" w:type="dxa"/>
            <w:vAlign w:val="center"/>
          </w:tcPr>
          <w:p w14:paraId="4CD4A64C" w14:textId="77777777" w:rsidR="00762E5F" w:rsidRDefault="00000000" w:rsidP="00B34B59">
            <w:pPr>
              <w:spacing w:after="0" w:line="360" w:lineRule="auto"/>
              <w:jc w:val="center"/>
            </w:pPr>
            <w:r>
              <w:rPr>
                <w:sz w:val="20"/>
              </w:rPr>
              <w:t>Psychometric study</w:t>
            </w:r>
          </w:p>
        </w:tc>
        <w:tc>
          <w:tcPr>
            <w:tcW w:w="2484" w:type="dxa"/>
            <w:vAlign w:val="center"/>
          </w:tcPr>
          <w:p w14:paraId="14FC9617" w14:textId="77777777" w:rsidR="00762E5F" w:rsidRDefault="00000000" w:rsidP="00B34B59">
            <w:pPr>
              <w:spacing w:after="0" w:line="360" w:lineRule="auto"/>
              <w:jc w:val="center"/>
            </w:pPr>
            <w:r>
              <w:rPr>
                <w:sz w:val="20"/>
              </w:rPr>
              <w:t>Provides a tool for measuring presence</w:t>
            </w:r>
          </w:p>
        </w:tc>
      </w:tr>
      <w:tr w:rsidR="00762E5F" w14:paraId="460BAC69" w14:textId="77777777">
        <w:trPr>
          <w:cantSplit/>
          <w:jc w:val="center"/>
        </w:trPr>
        <w:tc>
          <w:tcPr>
            <w:tcW w:w="2484" w:type="dxa"/>
            <w:vAlign w:val="center"/>
          </w:tcPr>
          <w:p w14:paraId="37EDADA4" w14:textId="77777777" w:rsidR="00762E5F" w:rsidRDefault="00000000" w:rsidP="00B34B59">
            <w:pPr>
              <w:spacing w:after="0" w:line="360" w:lineRule="auto"/>
            </w:pPr>
            <w:r>
              <w:rPr>
                <w:sz w:val="20"/>
              </w:rPr>
              <w:t>Study 4</w:t>
            </w:r>
          </w:p>
        </w:tc>
        <w:tc>
          <w:tcPr>
            <w:tcW w:w="2484" w:type="dxa"/>
            <w:vAlign w:val="center"/>
          </w:tcPr>
          <w:p w14:paraId="342B49A4" w14:textId="77777777" w:rsidR="00762E5F" w:rsidRDefault="00000000" w:rsidP="00B34B59">
            <w:pPr>
              <w:spacing w:after="0" w:line="360" w:lineRule="auto"/>
              <w:jc w:val="center"/>
            </w:pPr>
            <w:r>
              <w:rPr>
                <w:sz w:val="20"/>
              </w:rPr>
              <w:t xml:space="preserve">The effectiveness of the </w:t>
            </w:r>
            <w:r>
              <w:rPr>
                <w:i/>
                <w:sz w:val="20"/>
              </w:rPr>
              <w:t xml:space="preserve">Future Psychotherapists </w:t>
            </w:r>
            <w:r>
              <w:rPr>
                <w:sz w:val="20"/>
              </w:rPr>
              <w:t>app</w:t>
            </w:r>
          </w:p>
        </w:tc>
        <w:tc>
          <w:tcPr>
            <w:tcW w:w="2484" w:type="dxa"/>
            <w:vAlign w:val="center"/>
          </w:tcPr>
          <w:p w14:paraId="7BB4E2FB" w14:textId="77777777" w:rsidR="00762E5F" w:rsidRDefault="00000000" w:rsidP="00B34B59">
            <w:pPr>
              <w:spacing w:after="0" w:line="360" w:lineRule="auto"/>
              <w:jc w:val="center"/>
            </w:pPr>
            <w:r>
              <w:rPr>
                <w:sz w:val="20"/>
              </w:rPr>
              <w:t>Pilot RCT with an active control group</w:t>
            </w:r>
          </w:p>
        </w:tc>
        <w:tc>
          <w:tcPr>
            <w:tcW w:w="2484" w:type="dxa"/>
            <w:vAlign w:val="center"/>
          </w:tcPr>
          <w:p w14:paraId="65749F2F" w14:textId="77777777" w:rsidR="00762E5F" w:rsidRDefault="00000000" w:rsidP="00B34B59">
            <w:pPr>
              <w:spacing w:after="0" w:line="360" w:lineRule="auto"/>
              <w:jc w:val="center"/>
            </w:pPr>
            <w:r>
              <w:rPr>
                <w:sz w:val="20"/>
              </w:rPr>
              <w:t xml:space="preserve">Tests effects on empathy </w:t>
            </w:r>
            <w:r w:rsidR="00122C93">
              <w:rPr>
                <w:sz w:val="20"/>
              </w:rPr>
              <w:t>and the therapeutic alliance</w:t>
            </w:r>
          </w:p>
        </w:tc>
      </w:tr>
    </w:tbl>
    <w:p w14:paraId="48E205EB" w14:textId="77777777" w:rsidR="00164AFB" w:rsidRDefault="00164AFB" w:rsidP="00B34B59">
      <w:pPr>
        <w:pStyle w:val="Heading1"/>
        <w:spacing w:before="0" w:after="0" w:line="360" w:lineRule="auto"/>
        <w:jc w:val="center"/>
        <w:rPr>
          <w:rFonts w:ascii="Times New Roman" w:eastAsia="Times New Roman" w:hAnsi="Times New Roman"/>
          <w:color w:val="000000" w:themeColor="text1"/>
        </w:rPr>
      </w:pPr>
    </w:p>
    <w:p w14:paraId="2209F70B" w14:textId="77777777" w:rsidR="00540F0E" w:rsidRDefault="00540F0E" w:rsidP="00B34B59">
      <w:pPr>
        <w:spacing w:after="0" w:line="360" w:lineRule="auto"/>
      </w:pPr>
    </w:p>
    <w:p w14:paraId="73571F55" w14:textId="77777777" w:rsidR="00164AFB" w:rsidRDefault="00164AFB" w:rsidP="00B34B59">
      <w:pPr>
        <w:spacing w:after="0" w:line="360" w:lineRule="auto"/>
      </w:pPr>
    </w:p>
    <w:p w14:paraId="705A04E0" w14:textId="77777777" w:rsidR="00164AFB" w:rsidRDefault="00164AFB" w:rsidP="00B34B59">
      <w:pPr>
        <w:spacing w:after="0" w:line="360" w:lineRule="auto"/>
      </w:pPr>
    </w:p>
    <w:p w14:paraId="4879EF19" w14:textId="77777777" w:rsidR="00164AFB" w:rsidRDefault="00164AFB" w:rsidP="00B34B59">
      <w:pPr>
        <w:spacing w:after="0" w:line="360" w:lineRule="auto"/>
      </w:pPr>
    </w:p>
    <w:p w14:paraId="08D67750" w14:textId="77777777" w:rsidR="00164AFB" w:rsidRDefault="00164AFB" w:rsidP="00B34B59">
      <w:pPr>
        <w:spacing w:after="0" w:line="360" w:lineRule="auto"/>
      </w:pPr>
    </w:p>
    <w:p w14:paraId="26ABFAC0" w14:textId="77777777" w:rsidR="00164AFB" w:rsidRDefault="00164AFB" w:rsidP="00B34B59">
      <w:pPr>
        <w:spacing w:after="0" w:line="360" w:lineRule="auto"/>
      </w:pPr>
    </w:p>
    <w:p w14:paraId="2EBF648E" w14:textId="77777777" w:rsidR="00164AFB" w:rsidRDefault="00164AFB" w:rsidP="00164AFB">
      <w:pPr>
        <w:pStyle w:val="Heading1"/>
        <w:spacing w:before="0" w:after="0" w:line="360" w:lineRule="auto"/>
        <w:jc w:val="center"/>
        <w:rPr>
          <w:rFonts w:ascii="Times New Roman" w:eastAsia="Times New Roman" w:hAnsi="Times New Roman"/>
          <w:color w:val="000000" w:themeColor="text1"/>
        </w:rPr>
      </w:pPr>
      <w:r w:rsidRPr="003B4388">
        <w:rPr>
          <w:rFonts w:ascii="Times New Roman" w:eastAsia="Times New Roman" w:hAnsi="Times New Roman"/>
          <w:color w:val="000000" w:themeColor="text1"/>
        </w:rPr>
        <w:t>CHAPTER III. ORIGINAL RESEARCH</w:t>
      </w:r>
    </w:p>
    <w:p w14:paraId="7F815607" w14:textId="77777777" w:rsidR="00164AFB" w:rsidRPr="00540F0E" w:rsidRDefault="00164AFB" w:rsidP="00164AFB">
      <w:pPr>
        <w:spacing w:after="0" w:line="360" w:lineRule="auto"/>
      </w:pPr>
    </w:p>
    <w:p w14:paraId="1FCE3E76" w14:textId="77777777" w:rsidR="00164AFB" w:rsidRDefault="00164AFB" w:rsidP="00164AFB">
      <w:pPr>
        <w:pStyle w:val="Heading2"/>
        <w:spacing w:before="0" w:after="0" w:line="360" w:lineRule="auto"/>
        <w:jc w:val="both"/>
        <w:rPr>
          <w:rFonts w:ascii="Times New Roman" w:eastAsia="Times New Roman" w:hAnsi="Times New Roman"/>
          <w:color w:val="000000" w:themeColor="text1"/>
        </w:rPr>
      </w:pPr>
      <w:r w:rsidRPr="003B4388">
        <w:rPr>
          <w:rFonts w:ascii="Times New Roman" w:eastAsia="Times New Roman" w:hAnsi="Times New Roman"/>
          <w:color w:val="000000" w:themeColor="text1"/>
        </w:rPr>
        <w:t>3.1. Study 1. The effect of virtual reality-based psychological interventions on positive affect: a systematic review and meta-analysis</w:t>
      </w:r>
    </w:p>
    <w:p w14:paraId="463EE858" w14:textId="77777777" w:rsidR="00164AFB" w:rsidRPr="00540F0E" w:rsidRDefault="00164AFB" w:rsidP="00B34B59">
      <w:pPr>
        <w:spacing w:after="0" w:line="360" w:lineRule="auto"/>
      </w:pPr>
    </w:p>
    <w:p w14:paraId="766449A3" w14:textId="77777777" w:rsidR="00762E5F" w:rsidRPr="003B4388" w:rsidRDefault="00000000" w:rsidP="00B34B59">
      <w:pPr>
        <w:pStyle w:val="Heading3"/>
        <w:spacing w:before="0" w:after="0" w:line="360" w:lineRule="auto"/>
        <w:rPr>
          <w:color w:val="000000" w:themeColor="text1"/>
        </w:rPr>
      </w:pPr>
      <w:r w:rsidRPr="003B4388">
        <w:rPr>
          <w:rFonts w:ascii="Times New Roman" w:eastAsia="Times New Roman" w:hAnsi="Times New Roman"/>
          <w:color w:val="000000" w:themeColor="text1"/>
        </w:rPr>
        <w:t>3.1.1. Introduction</w:t>
      </w:r>
    </w:p>
    <w:p w14:paraId="0069F1F9" w14:textId="77777777" w:rsidR="00762E5F" w:rsidRDefault="009939D9" w:rsidP="00B34B59">
      <w:pPr>
        <w:spacing w:after="0" w:line="360" w:lineRule="auto"/>
        <w:jc w:val="both"/>
      </w:pPr>
      <w:r>
        <w:tab/>
        <w:t>The first study was prompted by the observation that virtual reality has become a technology increasingly used in psychological interventions and training programmes. In the field of psychological interventions, VR is discussed as a relevant tool for mental health (Pedram &amp; Piatkowski, 2025), whilst in the field of training, VR training programmes have been associated with benefits for learning and skill development (Howard et al., 2021). However, the findings regarding positive affect remain mixed: some studies have reported increases following exposure to virtual environments, particularly natural environments or relaxation experiences, whilst other research has not identified clear differences between VR and non-VR conditions in terms of positive affect.</w:t>
      </w:r>
    </w:p>
    <w:p w14:paraId="7B748564" w14:textId="77777777" w:rsidR="00762E5F" w:rsidRDefault="009939D9" w:rsidP="00B34B59">
      <w:pPr>
        <w:spacing w:after="0" w:line="360" w:lineRule="auto"/>
        <w:jc w:val="both"/>
      </w:pPr>
      <w:r>
        <w:tab/>
        <w:t>Positive affect was conceptualised in this study as the general tendency to experience pleasant emotional states (Harmon-Jones &amp; Harmon-Jones, 2021). Its relevance is supported by the ‘broaden-and-build’ theory, according to which positive emotions broaden the repertoire of actions and thoughts and contribute to the development of sustainable resources (Fredrickson, 2001). In psychotherapy, increases in positive affect may precede a reduction in symptoms of depression and anxiety (Barnes-Horowitz et al., 2024), and in technology-assisted learning environments</w:t>
      </w:r>
      <w:r w:rsidR="00823CBB">
        <w:t xml:space="preserve">, </w:t>
      </w:r>
      <w:r>
        <w:t>positive emotions are associated with more favourable educational outcomes (Loderer et al., 2020).</w:t>
      </w:r>
    </w:p>
    <w:p w14:paraId="402E466A" w14:textId="77777777" w:rsidR="00762E5F" w:rsidRDefault="009939D9" w:rsidP="00B34B59">
      <w:pPr>
        <w:spacing w:after="0" w:line="360" w:lineRule="auto"/>
        <w:jc w:val="both"/>
      </w:pPr>
      <w:r>
        <w:tab/>
        <w:t>In this context, the main objective of Study 1 was to quantify the overall effect of psychological interventions delivered via VR on positive affect, compared with non-VR interventions. A secondary objective was to explore moderators such as the type of control group, the type of intervention, the device used, the duration of the intervention, the type of sample, age, the proportion of female participants and the risk of bias.</w:t>
      </w:r>
    </w:p>
    <w:p w14:paraId="4A5026C0" w14:textId="77777777" w:rsidR="00540F0E" w:rsidRDefault="00540F0E" w:rsidP="00B34B59">
      <w:pPr>
        <w:spacing w:after="0" w:line="360" w:lineRule="auto"/>
        <w:jc w:val="both"/>
      </w:pPr>
    </w:p>
    <w:p w14:paraId="7FEB7035" w14:textId="77777777" w:rsidR="00762E5F" w:rsidRDefault="00000000" w:rsidP="00B34B59">
      <w:pPr>
        <w:pStyle w:val="Heading3"/>
        <w:spacing w:before="0" w:after="0" w:line="360" w:lineRule="auto"/>
        <w:rPr>
          <w:rFonts w:ascii="Times New Roman" w:eastAsia="Times New Roman" w:hAnsi="Times New Roman"/>
          <w:color w:val="000000" w:themeColor="text1"/>
        </w:rPr>
      </w:pPr>
      <w:r w:rsidRPr="009939D9">
        <w:rPr>
          <w:rFonts w:ascii="Times New Roman" w:eastAsia="Times New Roman" w:hAnsi="Times New Roman"/>
          <w:color w:val="000000" w:themeColor="text1"/>
        </w:rPr>
        <w:t xml:space="preserve">3.1.2. </w:t>
      </w:r>
      <w:r w:rsidR="00A418BC">
        <w:rPr>
          <w:rFonts w:ascii="Times New Roman" w:eastAsia="Times New Roman" w:hAnsi="Times New Roman"/>
          <w:color w:val="000000" w:themeColor="text1"/>
        </w:rPr>
        <w:t>Methodology</w:t>
      </w:r>
    </w:p>
    <w:p w14:paraId="063CA701" w14:textId="77777777" w:rsidR="008841E3" w:rsidRPr="008841E3" w:rsidRDefault="009939D9" w:rsidP="00B34B59">
      <w:pPr>
        <w:spacing w:after="0" w:line="360" w:lineRule="auto"/>
        <w:jc w:val="both"/>
      </w:pPr>
      <w:r>
        <w:tab/>
      </w:r>
      <w:r w:rsidR="008841E3" w:rsidRPr="008841E3">
        <w:t>The systematic review was conducted in the Web of Science, PsycINFO, PubMed and Scopus databases. The initial search was carried out in May 2023, and the update was carried out in March 2025. The search strategy combined terms relating to virtual reality with terms relating to positive affect, positive emotions, positive mood, well-being, calm, relaxation, serenity or happiness, and with terms relating to interventions or randomised controlled trials (Moher et al., 2009).</w:t>
      </w:r>
    </w:p>
    <w:p w14:paraId="5FDF8DAE" w14:textId="77777777" w:rsidR="008841E3" w:rsidRPr="008841E3" w:rsidRDefault="008841E3" w:rsidP="00B34B59">
      <w:pPr>
        <w:spacing w:after="0" w:line="360" w:lineRule="auto"/>
        <w:jc w:val="both"/>
      </w:pPr>
      <w:r>
        <w:tab/>
      </w:r>
      <w:r w:rsidRPr="008841E3">
        <w:t>Only studies published in English in peer-reviewed journals, with a randomised controlled design, which compared a VR intervention with a non-VR condition and which reported sufficient data to calculate the effect size on positive affect at post-test, were included. The data required to calculate Hedges’ g were extracted, along with information on study characteristics and potential moderators (Borenstein et al., 2009; Cohen, 1988).</w:t>
      </w:r>
    </w:p>
    <w:p w14:paraId="1E4B2E85" w14:textId="77777777" w:rsidR="008841E3" w:rsidRDefault="008841E3" w:rsidP="00B34B59">
      <w:pPr>
        <w:spacing w:after="0" w:line="360" w:lineRule="auto"/>
        <w:jc w:val="both"/>
      </w:pPr>
      <w:r>
        <w:tab/>
      </w:r>
      <w:r w:rsidR="00F11D52" w:rsidRPr="00F11D52">
        <w:t xml:space="preserve">The quality of the included studies was assessed using the </w:t>
      </w:r>
      <w:r w:rsidR="00F11D52" w:rsidRPr="00F11D52">
        <w:rPr>
          <w:i/>
          <w:iCs/>
        </w:rPr>
        <w:t xml:space="preserve">Joanna Briggs Institute Critical Appraisal Checklist for Randomised Controlled Trials </w:t>
      </w:r>
      <w:r w:rsidR="00F11D52" w:rsidRPr="00F11D52">
        <w:t xml:space="preserve">(Aromataris &amp; Munn, 2020; Tufanaru et al., 2020). Meta-analyses were conducted in </w:t>
      </w:r>
      <w:r w:rsidR="00F11D52" w:rsidRPr="00F11D52">
        <w:rPr>
          <w:i/>
          <w:iCs/>
        </w:rPr>
        <w:t xml:space="preserve">Comprehensive Meta-Analysis </w:t>
      </w:r>
      <w:r w:rsidR="00F11D52" w:rsidRPr="00F11D52">
        <w:t xml:space="preserve">(CMA; Borenstein et al., 2014), using a random-effects model. Heterogeneity was estimated using Q and I², whilst publication bias was assessed by examining </w:t>
      </w:r>
      <w:r w:rsidR="00F11D52" w:rsidRPr="00F11D52">
        <w:rPr>
          <w:i/>
          <w:iCs/>
        </w:rPr>
        <w:t>the funnel plot</w:t>
      </w:r>
      <w:r w:rsidR="00F11D52" w:rsidRPr="00F11D52">
        <w:t xml:space="preserve">, the Egger test (Egger et al., 1997) and Duval and Tweedie’s </w:t>
      </w:r>
      <w:r w:rsidR="00F11D52" w:rsidRPr="00F11D52">
        <w:rPr>
          <w:i/>
          <w:iCs/>
        </w:rPr>
        <w:t>trim-and-fill</w:t>
      </w:r>
      <w:r w:rsidR="00F11D52" w:rsidRPr="00F11D52">
        <w:t xml:space="preserve"> method (Duval &amp; Tweedie, 2000).</w:t>
      </w:r>
    </w:p>
    <w:p w14:paraId="454463C8" w14:textId="77777777" w:rsidR="00540F0E" w:rsidRDefault="00540F0E" w:rsidP="00B34B59">
      <w:pPr>
        <w:spacing w:after="0" w:line="360" w:lineRule="auto"/>
        <w:jc w:val="both"/>
      </w:pPr>
    </w:p>
    <w:p w14:paraId="6BB4C3B9" w14:textId="77777777" w:rsidR="00762E5F" w:rsidRPr="00F6330A" w:rsidRDefault="00000000" w:rsidP="00B34B59">
      <w:pPr>
        <w:pStyle w:val="Heading3"/>
        <w:spacing w:before="0" w:after="0" w:line="360" w:lineRule="auto"/>
        <w:rPr>
          <w:color w:val="000000" w:themeColor="text1"/>
        </w:rPr>
      </w:pPr>
      <w:r w:rsidRPr="00F6330A">
        <w:rPr>
          <w:rFonts w:ascii="Times New Roman" w:eastAsia="Times New Roman" w:hAnsi="Times New Roman"/>
          <w:color w:val="000000" w:themeColor="text1"/>
        </w:rPr>
        <w:t>3.1.3. Results</w:t>
      </w:r>
    </w:p>
    <w:p w14:paraId="10C588C5" w14:textId="77777777" w:rsidR="00762E5F" w:rsidRDefault="00F6330A" w:rsidP="00B34B59">
      <w:pPr>
        <w:spacing w:after="0" w:line="360" w:lineRule="auto"/>
        <w:jc w:val="both"/>
      </w:pPr>
      <w:r>
        <w:tab/>
        <w:t>The search identified 1,703 records, of which 764 were duplicates. Following screening of titles and abstracts, 177 studies were assessed in full text. Ultimately, 12 randomised controlled trials were included, providing 18 post-test effects. The total number of participants randomised to VR or non-VR conditions was N = 819. Most studies included non-clinical samples, whilst three studies included clinical populations.</w:t>
      </w:r>
    </w:p>
    <w:p w14:paraId="051CAB16" w14:textId="77777777" w:rsidR="00762E5F" w:rsidRDefault="00F6330A" w:rsidP="00B34B59">
      <w:pPr>
        <w:spacing w:after="0" w:line="360" w:lineRule="auto"/>
        <w:jc w:val="both"/>
      </w:pPr>
      <w:r>
        <w:tab/>
        <w:t>The overall analysis showed that VR interventions produced a small but significant advantage in terms of positive affect compared with non-VR conditions: Hedges’ g = 0.320, SE = 0.067, 95% CI [0.189; 0.451], Z = 4.795, p &lt; .001. Heterogeneity across studies was low and statistically insignificant, Q(17) = 20.873, p = .232, I² = 18.6%, suggesting relative consistency among the included effects.</w:t>
      </w:r>
    </w:p>
    <w:p w14:paraId="37DC2357" w14:textId="77777777" w:rsidR="00762E5F" w:rsidRDefault="00F6330A" w:rsidP="00B34B59">
      <w:pPr>
        <w:spacing w:after="0" w:line="360" w:lineRule="auto"/>
        <w:jc w:val="both"/>
      </w:pPr>
      <w:r>
        <w:lastRenderedPageBreak/>
        <w:tab/>
        <w:t xml:space="preserve">A sensitivity analysis, carried out by excluding an effect identified as an outlier, led to a slight increase in the effect size, Hedges’ g = 0.362, 95% CI [0.242; 0.482], and the residual heterogeneity became zero. Subgroup analyses indicated larger effects for studies with passive control groups (g = 0.457) than for those with active control groups (g = 0.226); however, the difference between subgroups was not statistically significant </w:t>
      </w:r>
      <w:r w:rsidR="00823CBB">
        <w:t>(Table 2)</w:t>
      </w:r>
      <w:r>
        <w:t>.</w:t>
      </w:r>
    </w:p>
    <w:p w14:paraId="13448ADD" w14:textId="77777777" w:rsidR="00762E5F" w:rsidRDefault="00F6330A" w:rsidP="00B34B59">
      <w:pPr>
        <w:spacing w:after="0" w:line="360" w:lineRule="auto"/>
        <w:jc w:val="both"/>
      </w:pPr>
      <w:r>
        <w:tab/>
        <w:t>Neither categorical nor continuous moderators significantly explained the variability in effect sizes. Outcome type, scale type, sample type, device type, mean age, proportion of female participants, duration of intervention and JBI score were not significant moderators. Presence could not be summarised quantitatively due to limited and incomparable reporting across studies</w:t>
      </w:r>
      <w:r w:rsidR="00823CBB">
        <w:t>.</w:t>
      </w:r>
    </w:p>
    <w:p w14:paraId="478FF3FC" w14:textId="77777777" w:rsidR="00823CBB" w:rsidRDefault="00823CBB" w:rsidP="00B34B59">
      <w:pPr>
        <w:spacing w:after="0" w:line="360" w:lineRule="auto"/>
        <w:jc w:val="both"/>
      </w:pPr>
    </w:p>
    <w:p w14:paraId="788FF11F" w14:textId="77777777" w:rsidR="0074640D" w:rsidRDefault="00000000" w:rsidP="00B34B59">
      <w:pPr>
        <w:spacing w:after="0" w:line="360" w:lineRule="auto"/>
        <w:jc w:val="both"/>
        <w:rPr>
          <w:i/>
          <w:iCs/>
        </w:rPr>
      </w:pPr>
      <w:r w:rsidRPr="00823CBB">
        <w:rPr>
          <w:b/>
          <w:bCs/>
        </w:rPr>
        <w:t xml:space="preserve">Table 2. </w:t>
      </w:r>
      <w:r w:rsidR="00823CBB" w:rsidRPr="00823CBB">
        <w:rPr>
          <w:i/>
          <w:iCs/>
        </w:rPr>
        <w:t>Effects of VR interventions on positive affect</w:t>
      </w:r>
    </w:p>
    <w:p w14:paraId="452225A7" w14:textId="77777777" w:rsidR="00823CBB" w:rsidRDefault="00823CBB" w:rsidP="00B34B59">
      <w:pPr>
        <w:spacing w:after="0" w:line="360" w:lineRule="auto"/>
        <w:jc w:val="both"/>
        <w:rPr>
          <w:i/>
          <w:iCs/>
        </w:rPr>
      </w:pPr>
    </w:p>
    <w:tbl>
      <w:tblPr>
        <w:tblStyle w:val="TableGrid"/>
        <w:tblW w:w="0" w:type="auto"/>
        <w:jc w:val="center"/>
        <w:tblLook w:val="04A0" w:firstRow="1" w:lastRow="0" w:firstColumn="1" w:lastColumn="0" w:noHBand="0" w:noVBand="1"/>
      </w:tblPr>
      <w:tblGrid>
        <w:gridCol w:w="1577"/>
        <w:gridCol w:w="1519"/>
        <w:gridCol w:w="1573"/>
        <w:gridCol w:w="1560"/>
        <w:gridCol w:w="1535"/>
        <w:gridCol w:w="1632"/>
      </w:tblGrid>
      <w:tr w:rsidR="00762E5F" w14:paraId="3A588851" w14:textId="77777777">
        <w:trPr>
          <w:cantSplit/>
          <w:jc w:val="center"/>
        </w:trPr>
        <w:tc>
          <w:tcPr>
            <w:tcW w:w="1656" w:type="dxa"/>
            <w:vAlign w:val="center"/>
          </w:tcPr>
          <w:p w14:paraId="4A0B4704" w14:textId="77777777" w:rsidR="00762E5F" w:rsidRDefault="00000000" w:rsidP="00B34B59">
            <w:pPr>
              <w:spacing w:after="0" w:line="360" w:lineRule="auto"/>
              <w:jc w:val="center"/>
            </w:pPr>
            <w:r>
              <w:rPr>
                <w:b/>
                <w:sz w:val="20"/>
              </w:rPr>
              <w:t>Analysis</w:t>
            </w:r>
          </w:p>
        </w:tc>
        <w:tc>
          <w:tcPr>
            <w:tcW w:w="1656" w:type="dxa"/>
            <w:vAlign w:val="center"/>
          </w:tcPr>
          <w:p w14:paraId="2DB04C01" w14:textId="77777777" w:rsidR="00762E5F" w:rsidRDefault="00F6330A" w:rsidP="00B34B59">
            <w:pPr>
              <w:spacing w:after="0" w:line="360" w:lineRule="auto"/>
              <w:jc w:val="center"/>
            </w:pPr>
            <w:r>
              <w:rPr>
                <w:b/>
                <w:sz w:val="20"/>
              </w:rPr>
              <w:t>K</w:t>
            </w:r>
          </w:p>
        </w:tc>
        <w:tc>
          <w:tcPr>
            <w:tcW w:w="1656" w:type="dxa"/>
            <w:vAlign w:val="center"/>
          </w:tcPr>
          <w:p w14:paraId="5F609D40" w14:textId="77777777" w:rsidR="00762E5F" w:rsidRDefault="00000000" w:rsidP="00B34B59">
            <w:pPr>
              <w:spacing w:after="0" w:line="360" w:lineRule="auto"/>
              <w:jc w:val="center"/>
            </w:pPr>
            <w:r>
              <w:rPr>
                <w:b/>
                <w:sz w:val="20"/>
              </w:rPr>
              <w:t>Hedges’ g</w:t>
            </w:r>
          </w:p>
        </w:tc>
        <w:tc>
          <w:tcPr>
            <w:tcW w:w="1656" w:type="dxa"/>
            <w:vAlign w:val="center"/>
          </w:tcPr>
          <w:p w14:paraId="187D86C1" w14:textId="77777777" w:rsidR="00762E5F" w:rsidRDefault="00000000" w:rsidP="00B34B59">
            <w:pPr>
              <w:spacing w:after="0" w:line="360" w:lineRule="auto"/>
              <w:jc w:val="center"/>
            </w:pPr>
            <w:r>
              <w:rPr>
                <w:b/>
                <w:sz w:val="20"/>
              </w:rPr>
              <w:t>95% CI</w:t>
            </w:r>
          </w:p>
        </w:tc>
        <w:tc>
          <w:tcPr>
            <w:tcW w:w="1656" w:type="dxa"/>
            <w:vAlign w:val="center"/>
          </w:tcPr>
          <w:p w14:paraId="22A7602C" w14:textId="77777777" w:rsidR="00762E5F" w:rsidRDefault="00000000" w:rsidP="00B34B59">
            <w:pPr>
              <w:spacing w:after="0" w:line="360" w:lineRule="auto"/>
              <w:jc w:val="center"/>
            </w:pPr>
            <w:r>
              <w:rPr>
                <w:b/>
                <w:sz w:val="20"/>
              </w:rPr>
              <w:t>p</w:t>
            </w:r>
          </w:p>
        </w:tc>
        <w:tc>
          <w:tcPr>
            <w:tcW w:w="1656" w:type="dxa"/>
            <w:vAlign w:val="center"/>
          </w:tcPr>
          <w:p w14:paraId="0A214B75" w14:textId="77777777" w:rsidR="00762E5F" w:rsidRDefault="00000000" w:rsidP="00B34B59">
            <w:pPr>
              <w:spacing w:after="0" w:line="360" w:lineRule="auto"/>
              <w:jc w:val="center"/>
            </w:pPr>
            <w:r>
              <w:rPr>
                <w:b/>
                <w:sz w:val="20"/>
              </w:rPr>
              <w:t>Interpretation</w:t>
            </w:r>
          </w:p>
        </w:tc>
      </w:tr>
      <w:tr w:rsidR="00762E5F" w14:paraId="592CCCAD" w14:textId="77777777">
        <w:trPr>
          <w:cantSplit/>
          <w:jc w:val="center"/>
        </w:trPr>
        <w:tc>
          <w:tcPr>
            <w:tcW w:w="1656" w:type="dxa"/>
            <w:vAlign w:val="center"/>
          </w:tcPr>
          <w:p w14:paraId="717269D5" w14:textId="77777777" w:rsidR="00762E5F" w:rsidRDefault="00000000" w:rsidP="00B34B59">
            <w:pPr>
              <w:spacing w:after="0" w:line="360" w:lineRule="auto"/>
            </w:pPr>
            <w:r>
              <w:rPr>
                <w:sz w:val="20"/>
              </w:rPr>
              <w:t>Overall effect: VR vs. non-VR</w:t>
            </w:r>
          </w:p>
        </w:tc>
        <w:tc>
          <w:tcPr>
            <w:tcW w:w="1656" w:type="dxa"/>
            <w:vAlign w:val="center"/>
          </w:tcPr>
          <w:p w14:paraId="4D530B7C" w14:textId="77777777" w:rsidR="00762E5F" w:rsidRDefault="00000000" w:rsidP="00B34B59">
            <w:pPr>
              <w:spacing w:after="0" w:line="360" w:lineRule="auto"/>
              <w:jc w:val="center"/>
            </w:pPr>
            <w:r>
              <w:rPr>
                <w:sz w:val="20"/>
              </w:rPr>
              <w:t>18</w:t>
            </w:r>
          </w:p>
        </w:tc>
        <w:tc>
          <w:tcPr>
            <w:tcW w:w="1656" w:type="dxa"/>
            <w:vAlign w:val="center"/>
          </w:tcPr>
          <w:p w14:paraId="05EC7EAC" w14:textId="77777777" w:rsidR="00762E5F" w:rsidRDefault="00000000" w:rsidP="00B34B59">
            <w:pPr>
              <w:spacing w:after="0" w:line="360" w:lineRule="auto"/>
              <w:jc w:val="center"/>
            </w:pPr>
            <w:r>
              <w:rPr>
                <w:sz w:val="20"/>
              </w:rPr>
              <w:t>0.320</w:t>
            </w:r>
          </w:p>
        </w:tc>
        <w:tc>
          <w:tcPr>
            <w:tcW w:w="1656" w:type="dxa"/>
            <w:vAlign w:val="center"/>
          </w:tcPr>
          <w:p w14:paraId="5CC4522B" w14:textId="77777777" w:rsidR="00762E5F" w:rsidRDefault="00000000" w:rsidP="00B34B59">
            <w:pPr>
              <w:spacing w:after="0" w:line="360" w:lineRule="auto"/>
              <w:jc w:val="center"/>
            </w:pPr>
            <w:r>
              <w:rPr>
                <w:sz w:val="20"/>
              </w:rPr>
              <w:t>[0.189; 0.451]</w:t>
            </w:r>
          </w:p>
        </w:tc>
        <w:tc>
          <w:tcPr>
            <w:tcW w:w="1656" w:type="dxa"/>
            <w:vAlign w:val="center"/>
          </w:tcPr>
          <w:p w14:paraId="7291129C" w14:textId="77777777" w:rsidR="00762E5F" w:rsidRDefault="00000000" w:rsidP="00B34B59">
            <w:pPr>
              <w:spacing w:after="0" w:line="360" w:lineRule="auto"/>
              <w:jc w:val="center"/>
            </w:pPr>
            <w:r>
              <w:rPr>
                <w:sz w:val="20"/>
              </w:rPr>
              <w:t>&lt; .001</w:t>
            </w:r>
          </w:p>
        </w:tc>
        <w:tc>
          <w:tcPr>
            <w:tcW w:w="1656" w:type="dxa"/>
            <w:vAlign w:val="center"/>
          </w:tcPr>
          <w:p w14:paraId="4283E674" w14:textId="77777777" w:rsidR="00762E5F" w:rsidRDefault="00000000" w:rsidP="00B34B59">
            <w:pPr>
              <w:spacing w:after="0" w:line="360" w:lineRule="auto"/>
              <w:jc w:val="center"/>
            </w:pPr>
            <w:r>
              <w:rPr>
                <w:sz w:val="20"/>
              </w:rPr>
              <w:t>small, robust effect</w:t>
            </w:r>
          </w:p>
        </w:tc>
      </w:tr>
      <w:tr w:rsidR="00762E5F" w14:paraId="3BA5853B" w14:textId="77777777">
        <w:trPr>
          <w:cantSplit/>
          <w:jc w:val="center"/>
        </w:trPr>
        <w:tc>
          <w:tcPr>
            <w:tcW w:w="1656" w:type="dxa"/>
            <w:vAlign w:val="center"/>
          </w:tcPr>
          <w:p w14:paraId="26B4EF34" w14:textId="77777777" w:rsidR="00762E5F" w:rsidRDefault="00000000" w:rsidP="00B34B59">
            <w:pPr>
              <w:spacing w:after="0" w:line="360" w:lineRule="auto"/>
            </w:pPr>
            <w:r>
              <w:rPr>
                <w:sz w:val="20"/>
              </w:rPr>
              <w:t>No outliers</w:t>
            </w:r>
          </w:p>
        </w:tc>
        <w:tc>
          <w:tcPr>
            <w:tcW w:w="1656" w:type="dxa"/>
            <w:vAlign w:val="center"/>
          </w:tcPr>
          <w:p w14:paraId="06495604" w14:textId="77777777" w:rsidR="00762E5F" w:rsidRDefault="00000000" w:rsidP="00B34B59">
            <w:pPr>
              <w:spacing w:after="0" w:line="360" w:lineRule="auto"/>
              <w:jc w:val="center"/>
            </w:pPr>
            <w:r>
              <w:rPr>
                <w:sz w:val="20"/>
              </w:rPr>
              <w:t>17</w:t>
            </w:r>
          </w:p>
        </w:tc>
        <w:tc>
          <w:tcPr>
            <w:tcW w:w="1656" w:type="dxa"/>
            <w:vAlign w:val="center"/>
          </w:tcPr>
          <w:p w14:paraId="46758CCD" w14:textId="77777777" w:rsidR="00762E5F" w:rsidRDefault="00000000" w:rsidP="00B34B59">
            <w:pPr>
              <w:spacing w:after="0" w:line="360" w:lineRule="auto"/>
              <w:jc w:val="center"/>
            </w:pPr>
            <w:r>
              <w:rPr>
                <w:sz w:val="20"/>
              </w:rPr>
              <w:t>0.362</w:t>
            </w:r>
          </w:p>
        </w:tc>
        <w:tc>
          <w:tcPr>
            <w:tcW w:w="1656" w:type="dxa"/>
            <w:vAlign w:val="center"/>
          </w:tcPr>
          <w:p w14:paraId="26A77AE7" w14:textId="77777777" w:rsidR="00762E5F" w:rsidRDefault="00000000" w:rsidP="00B34B59">
            <w:pPr>
              <w:spacing w:after="0" w:line="360" w:lineRule="auto"/>
              <w:jc w:val="center"/>
            </w:pPr>
            <w:r>
              <w:rPr>
                <w:sz w:val="20"/>
              </w:rPr>
              <w:t>[0.242; 0.482]</w:t>
            </w:r>
          </w:p>
        </w:tc>
        <w:tc>
          <w:tcPr>
            <w:tcW w:w="1656" w:type="dxa"/>
            <w:vAlign w:val="center"/>
          </w:tcPr>
          <w:p w14:paraId="0222AF03" w14:textId="77777777" w:rsidR="00762E5F" w:rsidRDefault="00000000" w:rsidP="00B34B59">
            <w:pPr>
              <w:spacing w:after="0" w:line="360" w:lineRule="auto"/>
              <w:jc w:val="center"/>
            </w:pPr>
            <w:r>
              <w:rPr>
                <w:sz w:val="20"/>
              </w:rPr>
              <w:t>&lt; .001</w:t>
            </w:r>
          </w:p>
        </w:tc>
        <w:tc>
          <w:tcPr>
            <w:tcW w:w="1656" w:type="dxa"/>
            <w:vAlign w:val="center"/>
          </w:tcPr>
          <w:p w14:paraId="07A0B752" w14:textId="77777777" w:rsidR="00762E5F" w:rsidRDefault="00000000" w:rsidP="00B34B59">
            <w:pPr>
              <w:spacing w:after="0" w:line="360" w:lineRule="auto"/>
              <w:jc w:val="center"/>
            </w:pPr>
            <w:r>
              <w:rPr>
                <w:sz w:val="20"/>
              </w:rPr>
              <w:t>stable effect</w:t>
            </w:r>
          </w:p>
        </w:tc>
      </w:tr>
      <w:tr w:rsidR="00762E5F" w14:paraId="5F492D34" w14:textId="77777777">
        <w:trPr>
          <w:cantSplit/>
          <w:jc w:val="center"/>
        </w:trPr>
        <w:tc>
          <w:tcPr>
            <w:tcW w:w="1656" w:type="dxa"/>
            <w:vAlign w:val="center"/>
          </w:tcPr>
          <w:p w14:paraId="57F4FAFE" w14:textId="77777777" w:rsidR="00762E5F" w:rsidRDefault="00000000" w:rsidP="00B34B59">
            <w:pPr>
              <w:spacing w:after="0" w:line="360" w:lineRule="auto"/>
            </w:pPr>
            <w:r>
              <w:rPr>
                <w:sz w:val="20"/>
              </w:rPr>
              <w:t>Passive control</w:t>
            </w:r>
          </w:p>
        </w:tc>
        <w:tc>
          <w:tcPr>
            <w:tcW w:w="1656" w:type="dxa"/>
            <w:vAlign w:val="center"/>
          </w:tcPr>
          <w:p w14:paraId="6C4DD9A2" w14:textId="77777777" w:rsidR="00762E5F" w:rsidRDefault="00000000" w:rsidP="00B34B59">
            <w:pPr>
              <w:spacing w:after="0" w:line="360" w:lineRule="auto"/>
              <w:jc w:val="center"/>
            </w:pPr>
            <w:r>
              <w:rPr>
                <w:sz w:val="20"/>
              </w:rPr>
              <w:t>7</w:t>
            </w:r>
          </w:p>
        </w:tc>
        <w:tc>
          <w:tcPr>
            <w:tcW w:w="1656" w:type="dxa"/>
            <w:vAlign w:val="center"/>
          </w:tcPr>
          <w:p w14:paraId="01A30342" w14:textId="77777777" w:rsidR="00762E5F" w:rsidRDefault="00000000" w:rsidP="00B34B59">
            <w:pPr>
              <w:spacing w:after="0" w:line="360" w:lineRule="auto"/>
              <w:jc w:val="center"/>
            </w:pPr>
            <w:r>
              <w:rPr>
                <w:sz w:val="20"/>
              </w:rPr>
              <w:t>0.457</w:t>
            </w:r>
          </w:p>
        </w:tc>
        <w:tc>
          <w:tcPr>
            <w:tcW w:w="1656" w:type="dxa"/>
            <w:vAlign w:val="center"/>
          </w:tcPr>
          <w:p w14:paraId="65C0A190" w14:textId="77777777" w:rsidR="00762E5F" w:rsidRDefault="00000000" w:rsidP="00B34B59">
            <w:pPr>
              <w:spacing w:after="0" w:line="360" w:lineRule="auto"/>
              <w:jc w:val="center"/>
            </w:pPr>
            <w:r>
              <w:rPr>
                <w:sz w:val="20"/>
              </w:rPr>
              <w:t>[0.266; 0.649]</w:t>
            </w:r>
          </w:p>
        </w:tc>
        <w:tc>
          <w:tcPr>
            <w:tcW w:w="1656" w:type="dxa"/>
            <w:vAlign w:val="center"/>
          </w:tcPr>
          <w:p w14:paraId="2A03000F" w14:textId="77777777" w:rsidR="00762E5F" w:rsidRDefault="00000000" w:rsidP="00B34B59">
            <w:pPr>
              <w:spacing w:after="0" w:line="360" w:lineRule="auto"/>
              <w:jc w:val="center"/>
            </w:pPr>
            <w:r>
              <w:rPr>
                <w:sz w:val="20"/>
              </w:rPr>
              <w:t>&lt; .001</w:t>
            </w:r>
          </w:p>
        </w:tc>
        <w:tc>
          <w:tcPr>
            <w:tcW w:w="1656" w:type="dxa"/>
            <w:vAlign w:val="center"/>
          </w:tcPr>
          <w:p w14:paraId="50261039" w14:textId="77777777" w:rsidR="00762E5F" w:rsidRDefault="00000000" w:rsidP="00B34B59">
            <w:pPr>
              <w:spacing w:after="0" w:line="360" w:lineRule="auto"/>
              <w:jc w:val="center"/>
            </w:pPr>
            <w:r>
              <w:rPr>
                <w:sz w:val="20"/>
              </w:rPr>
              <w:t>small to moderate effect</w:t>
            </w:r>
          </w:p>
        </w:tc>
      </w:tr>
      <w:tr w:rsidR="00762E5F" w14:paraId="2D0788B9" w14:textId="77777777">
        <w:trPr>
          <w:cantSplit/>
          <w:jc w:val="center"/>
        </w:trPr>
        <w:tc>
          <w:tcPr>
            <w:tcW w:w="1656" w:type="dxa"/>
            <w:vAlign w:val="center"/>
          </w:tcPr>
          <w:p w14:paraId="1557FD35" w14:textId="77777777" w:rsidR="00762E5F" w:rsidRDefault="00000000" w:rsidP="00B34B59">
            <w:pPr>
              <w:spacing w:after="0" w:line="360" w:lineRule="auto"/>
            </w:pPr>
            <w:r>
              <w:rPr>
                <w:sz w:val="20"/>
              </w:rPr>
              <w:t>Active control</w:t>
            </w:r>
          </w:p>
        </w:tc>
        <w:tc>
          <w:tcPr>
            <w:tcW w:w="1656" w:type="dxa"/>
            <w:vAlign w:val="center"/>
          </w:tcPr>
          <w:p w14:paraId="6B99A182" w14:textId="77777777" w:rsidR="00762E5F" w:rsidRDefault="00000000" w:rsidP="00B34B59">
            <w:pPr>
              <w:spacing w:after="0" w:line="360" w:lineRule="auto"/>
              <w:jc w:val="center"/>
            </w:pPr>
            <w:r>
              <w:rPr>
                <w:sz w:val="20"/>
              </w:rPr>
              <w:t>11</w:t>
            </w:r>
          </w:p>
        </w:tc>
        <w:tc>
          <w:tcPr>
            <w:tcW w:w="1656" w:type="dxa"/>
            <w:vAlign w:val="center"/>
          </w:tcPr>
          <w:p w14:paraId="7FD5EE76" w14:textId="77777777" w:rsidR="00762E5F" w:rsidRDefault="00000000" w:rsidP="00B34B59">
            <w:pPr>
              <w:spacing w:after="0" w:line="360" w:lineRule="auto"/>
              <w:jc w:val="center"/>
            </w:pPr>
            <w:r>
              <w:rPr>
                <w:sz w:val="20"/>
              </w:rPr>
              <w:t>0.226</w:t>
            </w:r>
          </w:p>
        </w:tc>
        <w:tc>
          <w:tcPr>
            <w:tcW w:w="1656" w:type="dxa"/>
            <w:vAlign w:val="center"/>
          </w:tcPr>
          <w:p w14:paraId="4D2A16FC" w14:textId="77777777" w:rsidR="00762E5F" w:rsidRDefault="00000000" w:rsidP="00B34B59">
            <w:pPr>
              <w:spacing w:after="0" w:line="360" w:lineRule="auto"/>
              <w:jc w:val="center"/>
            </w:pPr>
            <w:r>
              <w:rPr>
                <w:sz w:val="20"/>
              </w:rPr>
              <w:t>[0.036; 0.416]</w:t>
            </w:r>
          </w:p>
        </w:tc>
        <w:tc>
          <w:tcPr>
            <w:tcW w:w="1656" w:type="dxa"/>
            <w:vAlign w:val="center"/>
          </w:tcPr>
          <w:p w14:paraId="62C08D99" w14:textId="77777777" w:rsidR="00762E5F" w:rsidRDefault="00000000" w:rsidP="00B34B59">
            <w:pPr>
              <w:spacing w:after="0" w:line="360" w:lineRule="auto"/>
              <w:jc w:val="center"/>
            </w:pPr>
            <w:r>
              <w:rPr>
                <w:sz w:val="20"/>
              </w:rPr>
              <w:t>.020</w:t>
            </w:r>
          </w:p>
        </w:tc>
        <w:tc>
          <w:tcPr>
            <w:tcW w:w="1656" w:type="dxa"/>
            <w:vAlign w:val="center"/>
          </w:tcPr>
          <w:p w14:paraId="10050E70" w14:textId="77777777" w:rsidR="00762E5F" w:rsidRDefault="00000000" w:rsidP="00B34B59">
            <w:pPr>
              <w:spacing w:after="0" w:line="360" w:lineRule="auto"/>
              <w:jc w:val="center"/>
            </w:pPr>
            <w:r>
              <w:rPr>
                <w:sz w:val="20"/>
              </w:rPr>
              <w:t>small effect</w:t>
            </w:r>
          </w:p>
        </w:tc>
      </w:tr>
    </w:tbl>
    <w:p w14:paraId="1514F73A" w14:textId="77777777" w:rsidR="00762E5F" w:rsidRDefault="00762E5F" w:rsidP="00B34B59">
      <w:pPr>
        <w:spacing w:after="0" w:line="360" w:lineRule="auto"/>
      </w:pPr>
    </w:p>
    <w:p w14:paraId="605D33A0" w14:textId="77777777" w:rsidR="00762E5F" w:rsidRPr="00F6330A" w:rsidRDefault="00000000" w:rsidP="00B34B59">
      <w:pPr>
        <w:pStyle w:val="Heading3"/>
        <w:spacing w:before="0" w:after="0" w:line="360" w:lineRule="auto"/>
        <w:rPr>
          <w:color w:val="000000" w:themeColor="text1"/>
        </w:rPr>
      </w:pPr>
      <w:r w:rsidRPr="00F6330A">
        <w:rPr>
          <w:rFonts w:ascii="Times New Roman" w:eastAsia="Times New Roman" w:hAnsi="Times New Roman"/>
          <w:color w:val="000000" w:themeColor="text1"/>
        </w:rPr>
        <w:t>3.1.4. Discussion and conclusions</w:t>
      </w:r>
    </w:p>
    <w:p w14:paraId="72926CDE" w14:textId="77777777" w:rsidR="00762E5F" w:rsidRDefault="00F6330A" w:rsidP="00B34B59">
      <w:pPr>
        <w:spacing w:after="0" w:line="360" w:lineRule="auto"/>
        <w:jc w:val="both"/>
      </w:pPr>
      <w:r>
        <w:tab/>
        <w:t>The results of Study 1 indicate that virtual reality-based psychological interventions can increase positive affect to a small but significant and relatively consistent extent. This conclusion is important as it synthesises exclusively randomised controlled trials. It is consistent with previous literature suggesting that VR can also support an increase in positive affect, although the effects are usually moderate and context-dependent (Bolouki, 2024; Li Pira et al., 2023).</w:t>
      </w:r>
    </w:p>
    <w:p w14:paraId="7667887E" w14:textId="77777777" w:rsidR="00762E5F" w:rsidRDefault="00F6330A" w:rsidP="00B34B59">
      <w:pPr>
        <w:spacing w:after="0" w:line="360" w:lineRule="auto"/>
        <w:jc w:val="both"/>
      </w:pPr>
      <w:r>
        <w:tab/>
        <w:t>The effect size suggests that VR should not be regarded as a technology with spectacular or uniform affective effects, but rather as an environment that can produce modest benefits when compared with non-VR alternatives. The fact that the effect was maintained even in comparisons with active control groups is relevant, as it shows that the results cannot be explained solely by contrast with the absence of an intervention.</w:t>
      </w:r>
    </w:p>
    <w:p w14:paraId="7CEC2FBF" w14:textId="77777777" w:rsidR="00762E5F" w:rsidRDefault="00F6330A" w:rsidP="00B34B59">
      <w:pPr>
        <w:spacing w:after="0" w:line="360" w:lineRule="auto"/>
        <w:jc w:val="both"/>
      </w:pPr>
      <w:r>
        <w:tab/>
        <w:t xml:space="preserve">However, the lack of significant moderators indicates that the available evidence base is still too limited to determine precisely under which conditions VR produces the strongest effects </w:t>
      </w:r>
      <w:r>
        <w:lastRenderedPageBreak/>
        <w:t>on positive affect. Future research should include larger samples, more standardised measurement tools, longitudinal follow-up and systematic reporting of presence, as the literature on the role of presence in VR outcomes remains mixed (Ling et al., 2014; Price &amp; Anderson, 2007).</w:t>
      </w:r>
    </w:p>
    <w:p w14:paraId="0BF0BAD6" w14:textId="77777777" w:rsidR="00762E5F" w:rsidRDefault="008841E3" w:rsidP="00B34B59">
      <w:pPr>
        <w:spacing w:after="0" w:line="360" w:lineRule="auto"/>
        <w:jc w:val="both"/>
      </w:pPr>
      <w:r>
        <w:tab/>
        <w:t xml:space="preserve">Within the context of this thesis, this study provides the empirical basis for including positive affect as a secondary outcome in the evaluation of the </w:t>
      </w:r>
      <w:r>
        <w:rPr>
          <w:i/>
        </w:rPr>
        <w:t xml:space="preserve">Future Psychotherapists </w:t>
      </w:r>
      <w:r>
        <w:t>application. If a VR experience can foster positive affective engagement, then this variable may be relevant to the acceptability and appeal of a training tool for future psychotherapists.</w:t>
      </w:r>
    </w:p>
    <w:p w14:paraId="2D3C4E61" w14:textId="77777777" w:rsidR="00762E5F" w:rsidRDefault="00000000" w:rsidP="00B34B59">
      <w:pPr>
        <w:spacing w:after="0" w:line="360" w:lineRule="auto"/>
      </w:pPr>
      <w:r>
        <w:br w:type="page"/>
      </w:r>
    </w:p>
    <w:p w14:paraId="7D97A046" w14:textId="77777777" w:rsidR="00762E5F" w:rsidRPr="008E6496" w:rsidRDefault="00000000" w:rsidP="00B34B59">
      <w:pPr>
        <w:pStyle w:val="Heading2"/>
        <w:spacing w:after="0" w:line="360" w:lineRule="auto"/>
        <w:jc w:val="both"/>
        <w:rPr>
          <w:color w:val="000000" w:themeColor="text1"/>
        </w:rPr>
      </w:pPr>
      <w:r w:rsidRPr="008E6496">
        <w:rPr>
          <w:rFonts w:ascii="Times New Roman" w:eastAsia="Times New Roman" w:hAnsi="Times New Roman"/>
          <w:color w:val="000000" w:themeColor="text1"/>
        </w:rPr>
        <w:lastRenderedPageBreak/>
        <w:t xml:space="preserve">3.2. Study 2. The feasibility and usability of VR training for </w:t>
      </w:r>
      <w:r w:rsidR="00823CBB">
        <w:rPr>
          <w:rFonts w:ascii="Times New Roman" w:eastAsia="Times New Roman" w:hAnsi="Times New Roman"/>
          <w:color w:val="000000" w:themeColor="text1"/>
        </w:rPr>
        <w:t xml:space="preserve">therapeutic relationship skills </w:t>
      </w:r>
      <w:r w:rsidRPr="008E6496">
        <w:rPr>
          <w:rFonts w:ascii="Times New Roman" w:eastAsia="Times New Roman" w:hAnsi="Times New Roman"/>
          <w:color w:val="000000" w:themeColor="text1"/>
        </w:rPr>
        <w:t>among future psychotherapists: a pilot study</w:t>
      </w:r>
      <w:r w:rsidR="008E6496">
        <w:rPr>
          <w:rStyle w:val="FootnoteReference"/>
          <w:rFonts w:ascii="Times New Roman" w:eastAsia="Times New Roman" w:hAnsi="Times New Roman"/>
          <w:color w:val="000000" w:themeColor="text1"/>
        </w:rPr>
        <w:footnoteReference w:id="1"/>
      </w:r>
    </w:p>
    <w:p w14:paraId="3CEC90BF" w14:textId="77777777" w:rsidR="00762E5F" w:rsidRPr="008E6496" w:rsidRDefault="008E6496" w:rsidP="00B34B59">
      <w:pPr>
        <w:pStyle w:val="Heading3"/>
        <w:spacing w:after="0" w:line="360" w:lineRule="auto"/>
        <w:rPr>
          <w:color w:val="000000" w:themeColor="text1"/>
        </w:rPr>
      </w:pPr>
      <w:r>
        <w:rPr>
          <w:rFonts w:ascii="Times New Roman" w:eastAsia="Times New Roman" w:hAnsi="Times New Roman"/>
          <w:color w:val="000000" w:themeColor="text1"/>
        </w:rPr>
        <w:t xml:space="preserve">3.2.1 </w:t>
      </w:r>
      <w:r w:rsidRPr="008E6496">
        <w:rPr>
          <w:rFonts w:ascii="Times New Roman" w:eastAsia="Times New Roman" w:hAnsi="Times New Roman"/>
          <w:color w:val="000000" w:themeColor="text1"/>
        </w:rPr>
        <w:t>Introduction</w:t>
      </w:r>
    </w:p>
    <w:p w14:paraId="5A79B7D7" w14:textId="77777777" w:rsidR="00762E5F" w:rsidRDefault="008E6496" w:rsidP="00B34B59">
      <w:pPr>
        <w:spacing w:after="0" w:line="360" w:lineRule="auto"/>
        <w:jc w:val="both"/>
      </w:pPr>
      <w:r>
        <w:tab/>
        <w:t xml:space="preserve">Study 2 represented the first empirical evaluation of the </w:t>
      </w:r>
      <w:r>
        <w:rPr>
          <w:i/>
          <w:iCs/>
        </w:rPr>
        <w:t xml:space="preserve">Future Psychotherapists </w:t>
      </w:r>
      <w:r>
        <w:t xml:space="preserve">application. The application was developed based on the literature showing that the therapeutic relationship is one of the most important factors associated with psychotherapy outcomes (Norcross &amp; Karpiak, 2025) and that empathy and therapeutic alliance </w:t>
      </w:r>
      <w:r w:rsidR="00F36A09">
        <w:t xml:space="preserve">are considered higher-order elements </w:t>
      </w:r>
      <w:r w:rsidR="00F36A09" w:rsidRPr="00712A7D">
        <w:rPr>
          <w:rFonts w:cs="Times New Roman"/>
        </w:rPr>
        <w:t>(Horvath et al., 2016, as cited in Norcross &amp; Lambert, 2018)</w:t>
      </w:r>
      <w:r w:rsidR="00F36A09">
        <w:rPr>
          <w:rFonts w:cs="Times New Roman"/>
        </w:rPr>
        <w:t xml:space="preserve">. </w:t>
      </w:r>
      <w:r>
        <w:t>In the training of future psychotherapists, these skills must be practised, observed, discussed and corrected, which justifies the use of active training methods (Beidas &amp; Kendall, 2010; Frank et al., 2020; Rønning &amp; Bjørkly, 2019).</w:t>
      </w:r>
    </w:p>
    <w:p w14:paraId="0A8EA5C0" w14:textId="77777777" w:rsidR="00762E5F" w:rsidRDefault="008E6496" w:rsidP="00B34B59">
      <w:pPr>
        <w:spacing w:after="0" w:line="360" w:lineRule="auto"/>
        <w:jc w:val="both"/>
      </w:pPr>
      <w:r>
        <w:tab/>
      </w:r>
      <w:r>
        <w:rPr>
          <w:i/>
        </w:rPr>
        <w:t xml:space="preserve">‘Future Psychotherapists’ </w:t>
      </w:r>
      <w:r w:rsidR="00997EE8" w:rsidRPr="00997EE8">
        <w:t xml:space="preserve">was designed as an interactive virtual reality scenario for individual psychotherapy. Within the scenario, the user interacts with a virtual client and progresses through a series of 16 decision nodes </w:t>
      </w:r>
      <w:r w:rsidR="00204871">
        <w:t>(Figure 1)</w:t>
      </w:r>
      <w:r w:rsidR="00997EE8" w:rsidRPr="00997EE8">
        <w:t xml:space="preserve">. At each decision node, the user selects, from a set of predefined options, the therapeutic response they consider most appropriate. The scenario aims to practise responses relevant to the development of empathy and the therapeutic alliance. At the end, the user receives summative feedback </w:t>
      </w:r>
      <w:r w:rsidR="00204871">
        <w:t xml:space="preserve">(Figure 2) </w:t>
      </w:r>
      <w:r w:rsidR="00997EE8" w:rsidRPr="00997EE8">
        <w:t xml:space="preserve">on the number of correct responses. The application also includes a formative feedback component, through which the user can review the sequences </w:t>
      </w:r>
      <w:r w:rsidR="00204871">
        <w:t xml:space="preserve">(Figure 3) </w:t>
      </w:r>
      <w:r w:rsidR="00997EE8" w:rsidRPr="00997EE8">
        <w:t xml:space="preserve">in which they selected an incorrect response, compare their choice with the option validated by experts, and repeat the scenario. </w:t>
      </w:r>
    </w:p>
    <w:p w14:paraId="1D7966C8" w14:textId="77777777" w:rsidR="00762E5F" w:rsidRDefault="00F36A09" w:rsidP="00B34B59">
      <w:pPr>
        <w:spacing w:after="0" w:line="360" w:lineRule="auto"/>
        <w:jc w:val="both"/>
      </w:pPr>
      <w:r>
        <w:tab/>
        <w:t xml:space="preserve">The main objective of the study was to assess the feasibility and usability of the application. Feasibility was operationalised through the level </w:t>
      </w:r>
      <w:r w:rsidR="00997EE8">
        <w:t>of simulator sickness</w:t>
      </w:r>
      <w:r>
        <w:t xml:space="preserve">, measured using </w:t>
      </w:r>
      <w:r>
        <w:rPr>
          <w:i/>
        </w:rPr>
        <w:t xml:space="preserve">the Simulator Sickness Questionnaire </w:t>
      </w:r>
      <w:r>
        <w:t xml:space="preserve">(Kennedy et al., 1993). Usability was measured using </w:t>
      </w:r>
      <w:r>
        <w:rPr>
          <w:i/>
        </w:rPr>
        <w:t xml:space="preserve">the System Usability Scale </w:t>
      </w:r>
      <w:r>
        <w:t xml:space="preserve">(Brooke, 1996), whilst cognitive load was measured using </w:t>
      </w:r>
      <w:r>
        <w:rPr>
          <w:i/>
        </w:rPr>
        <w:t xml:space="preserve">the NASA Task Load Index </w:t>
      </w:r>
      <w:r>
        <w:t xml:space="preserve">(Hart &amp; Staveland, 1988). An exploratory objective was to examine pre-post changes in empathy </w:t>
      </w:r>
      <w:r w:rsidR="00DD6165">
        <w:t xml:space="preserve">as </w:t>
      </w:r>
      <w:r>
        <w:t xml:space="preserve">a state, measured using </w:t>
      </w:r>
      <w:r>
        <w:rPr>
          <w:i/>
        </w:rPr>
        <w:t xml:space="preserve">the State Empathy Scale </w:t>
      </w:r>
      <w:r>
        <w:t>(Shen, 2010).</w:t>
      </w:r>
    </w:p>
    <w:p w14:paraId="5568CAB1" w14:textId="77777777" w:rsidR="001D31C9" w:rsidRDefault="00E32DA1" w:rsidP="00B34B59">
      <w:pPr>
        <w:pStyle w:val="Heading3"/>
        <w:spacing w:after="0" w:line="360" w:lineRule="auto"/>
        <w:rPr>
          <w:rFonts w:ascii="Times New Roman" w:eastAsia="Times New Roman" w:hAnsi="Times New Roman"/>
          <w:color w:val="000000" w:themeColor="text1"/>
        </w:rPr>
      </w:pPr>
      <w:r>
        <w:rPr>
          <w:rFonts w:ascii="Times New Roman" w:hAnsi="Times New Roman" w:cs="Times New Roman"/>
          <w:color w:val="000000" w:themeColor="text1"/>
        </w:rPr>
        <w:lastRenderedPageBreak/>
        <w:tab/>
      </w:r>
      <w:r w:rsidRPr="001D31C9">
        <w:rPr>
          <w:rFonts w:ascii="Times New Roman" w:hAnsi="Times New Roman" w:cs="Times New Roman"/>
          <w:color w:val="000000" w:themeColor="text1"/>
        </w:rPr>
        <w:t xml:space="preserve">Figure 1. </w:t>
      </w:r>
      <w:r w:rsidRPr="001D31C9">
        <w:rPr>
          <w:rFonts w:ascii="Times New Roman" w:hAnsi="Times New Roman" w:cs="Times New Roman"/>
          <w:b w:val="0"/>
          <w:bCs w:val="0"/>
          <w:i/>
          <w:iCs/>
          <w:color w:val="000000" w:themeColor="text1"/>
        </w:rPr>
        <w:t>Example of a decision node in the branching narrative</w:t>
      </w:r>
    </w:p>
    <w:p w14:paraId="3034BF72" w14:textId="77777777" w:rsidR="001D31C9" w:rsidRDefault="00E32DA1" w:rsidP="00B34B59">
      <w:pPr>
        <w:pStyle w:val="Heading3"/>
        <w:spacing w:after="0" w:line="360" w:lineRule="auto"/>
        <w:rPr>
          <w:rFonts w:ascii="Times New Roman" w:eastAsia="Times New Roman" w:hAnsi="Times New Roman"/>
          <w:color w:val="000000" w:themeColor="text1"/>
        </w:rPr>
      </w:pPr>
      <w:r w:rsidRPr="00712A7D">
        <w:rPr>
          <w:rFonts w:ascii="Calibri" w:eastAsia="Calibri" w:hAnsi="Calibri" w:cs="Times New Roman"/>
          <w:noProof/>
        </w:rPr>
        <w:drawing>
          <wp:anchor distT="0" distB="0" distL="115200" distR="115200" simplePos="0" relativeHeight="251657216" behindDoc="1" locked="0" layoutInCell="1" allowOverlap="1" wp14:anchorId="2B7C8D44" wp14:editId="642F4552">
            <wp:simplePos x="0" y="0"/>
            <wp:positionH relativeFrom="column">
              <wp:posOffset>669925</wp:posOffset>
            </wp:positionH>
            <wp:positionV relativeFrom="paragraph">
              <wp:posOffset>59690</wp:posOffset>
            </wp:positionV>
            <wp:extent cx="4383405" cy="2187575"/>
            <wp:effectExtent l="0" t="0" r="0" b="3175"/>
            <wp:wrapNone/>
            <wp:docPr id="3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3405" cy="2187575"/>
                    </a:xfrm>
                    <a:prstGeom prst="rect">
                      <a:avLst/>
                    </a:prstGeom>
                    <a:noFill/>
                  </pic:spPr>
                </pic:pic>
              </a:graphicData>
            </a:graphic>
            <wp14:sizeRelH relativeFrom="page">
              <wp14:pctWidth>0</wp14:pctWidth>
            </wp14:sizeRelH>
            <wp14:sizeRelV relativeFrom="page">
              <wp14:pctHeight>0</wp14:pctHeight>
            </wp14:sizeRelV>
          </wp:anchor>
        </w:drawing>
      </w:r>
    </w:p>
    <w:p w14:paraId="72A13567" w14:textId="77777777" w:rsidR="001D31C9" w:rsidRDefault="001D31C9" w:rsidP="00B34B59">
      <w:pPr>
        <w:pStyle w:val="Heading3"/>
        <w:spacing w:after="0" w:line="360" w:lineRule="auto"/>
        <w:rPr>
          <w:rFonts w:ascii="Times New Roman" w:eastAsia="Times New Roman" w:hAnsi="Times New Roman"/>
          <w:color w:val="000000" w:themeColor="text1"/>
        </w:rPr>
      </w:pPr>
    </w:p>
    <w:p w14:paraId="2D8AAB14" w14:textId="77777777" w:rsidR="001D31C9" w:rsidRDefault="001D31C9" w:rsidP="00B34B59">
      <w:pPr>
        <w:pStyle w:val="Heading3"/>
        <w:spacing w:after="0" w:line="360" w:lineRule="auto"/>
        <w:rPr>
          <w:rFonts w:ascii="Times New Roman" w:eastAsia="Times New Roman" w:hAnsi="Times New Roman"/>
          <w:color w:val="000000" w:themeColor="text1"/>
        </w:rPr>
      </w:pPr>
    </w:p>
    <w:p w14:paraId="3BD1DF14" w14:textId="77777777" w:rsidR="001D31C9" w:rsidRPr="001D31C9" w:rsidRDefault="001D31C9" w:rsidP="001D31C9">
      <w:pPr>
        <w:pStyle w:val="Heading3"/>
        <w:spacing w:after="0" w:line="360" w:lineRule="auto"/>
        <w:jc w:val="center"/>
        <w:rPr>
          <w:rFonts w:ascii="Times New Roman" w:hAnsi="Times New Roman" w:cs="Times New Roman"/>
          <w:color w:val="000000" w:themeColor="text1"/>
        </w:rPr>
      </w:pPr>
    </w:p>
    <w:p w14:paraId="7D67E0AC" w14:textId="77777777" w:rsidR="001D31C9" w:rsidRDefault="001D31C9" w:rsidP="00B34B59">
      <w:pPr>
        <w:pStyle w:val="Heading3"/>
        <w:spacing w:after="0" w:line="360" w:lineRule="auto"/>
        <w:rPr>
          <w:rFonts w:ascii="Times New Roman" w:eastAsia="Times New Roman" w:hAnsi="Times New Roman"/>
          <w:color w:val="000000" w:themeColor="text1"/>
        </w:rPr>
      </w:pPr>
    </w:p>
    <w:p w14:paraId="15232198" w14:textId="77777777" w:rsidR="001D31C9" w:rsidRDefault="001D31C9" w:rsidP="00B34B59">
      <w:pPr>
        <w:pStyle w:val="Heading3"/>
        <w:spacing w:after="0" w:line="360" w:lineRule="auto"/>
        <w:rPr>
          <w:rFonts w:ascii="Times New Roman" w:eastAsia="Times New Roman" w:hAnsi="Times New Roman"/>
          <w:color w:val="000000" w:themeColor="text1"/>
        </w:rPr>
      </w:pPr>
    </w:p>
    <w:p w14:paraId="7FCC887A" w14:textId="77777777" w:rsidR="001D31C9" w:rsidRDefault="00E32DA1" w:rsidP="00004CD5">
      <w:pPr>
        <w:pStyle w:val="Heading3"/>
        <w:spacing w:after="0" w:line="360" w:lineRule="auto"/>
        <w:jc w:val="center"/>
        <w:rPr>
          <w:rFonts w:ascii="Times New Roman" w:eastAsia="Times New Roman" w:hAnsi="Times New Roman"/>
          <w:color w:val="000000" w:themeColor="text1"/>
        </w:rPr>
      </w:pPr>
      <w:r w:rsidRPr="00712A7D">
        <w:rPr>
          <w:rFonts w:ascii="Calibri" w:eastAsia="Calibri" w:hAnsi="Calibri" w:cs="Times New Roman"/>
          <w:noProof/>
        </w:rPr>
        <w:drawing>
          <wp:anchor distT="114300" distB="114300" distL="114300" distR="114300" simplePos="0" relativeHeight="251658240" behindDoc="1" locked="0" layoutInCell="1" allowOverlap="1" wp14:anchorId="1CAC3545" wp14:editId="32A46B3B">
            <wp:simplePos x="0" y="0"/>
            <wp:positionH relativeFrom="margin">
              <wp:posOffset>756285</wp:posOffset>
            </wp:positionH>
            <wp:positionV relativeFrom="paragraph">
              <wp:posOffset>633730</wp:posOffset>
            </wp:positionV>
            <wp:extent cx="4459605" cy="2338070"/>
            <wp:effectExtent l="0" t="0" r="0" b="5080"/>
            <wp:wrapNone/>
            <wp:docPr id="28"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9605" cy="23380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themeColor="text1"/>
        </w:rPr>
        <w:t xml:space="preserve">          </w:t>
      </w:r>
      <w:r w:rsidR="00004CD5" w:rsidRPr="00004CD5">
        <w:rPr>
          <w:rFonts w:ascii="Times New Roman" w:eastAsia="Times New Roman" w:hAnsi="Times New Roman"/>
          <w:color w:val="000000" w:themeColor="text1"/>
        </w:rPr>
        <w:t xml:space="preserve">Figure 2. </w:t>
      </w:r>
      <w:r w:rsidR="00004CD5" w:rsidRPr="00004CD5">
        <w:rPr>
          <w:rFonts w:ascii="Times New Roman" w:eastAsia="Times New Roman" w:hAnsi="Times New Roman"/>
          <w:b w:val="0"/>
          <w:bCs w:val="0"/>
          <w:i/>
          <w:iCs/>
          <w:color w:val="000000" w:themeColor="text1"/>
        </w:rPr>
        <w:t>The summative feedback screen displaying the number of correct answers for each targeted skill.</w:t>
      </w:r>
    </w:p>
    <w:p w14:paraId="649C9C5D" w14:textId="77777777" w:rsidR="001D31C9" w:rsidRDefault="001D31C9" w:rsidP="00B34B59">
      <w:pPr>
        <w:pStyle w:val="Heading3"/>
        <w:spacing w:after="0" w:line="360" w:lineRule="auto"/>
        <w:rPr>
          <w:rFonts w:ascii="Times New Roman" w:eastAsia="Times New Roman" w:hAnsi="Times New Roman"/>
          <w:color w:val="000000" w:themeColor="text1"/>
        </w:rPr>
      </w:pPr>
    </w:p>
    <w:p w14:paraId="6727994A" w14:textId="77777777" w:rsidR="001D31C9" w:rsidRDefault="001D31C9" w:rsidP="00B34B59">
      <w:pPr>
        <w:pStyle w:val="Heading3"/>
        <w:spacing w:after="0" w:line="360" w:lineRule="auto"/>
        <w:rPr>
          <w:rFonts w:ascii="Times New Roman" w:eastAsia="Times New Roman" w:hAnsi="Times New Roman"/>
          <w:color w:val="000000" w:themeColor="text1"/>
        </w:rPr>
      </w:pPr>
    </w:p>
    <w:p w14:paraId="75308F3C" w14:textId="77777777" w:rsidR="001D31C9" w:rsidRDefault="001D31C9" w:rsidP="00B34B59">
      <w:pPr>
        <w:pStyle w:val="Heading3"/>
        <w:spacing w:after="0" w:line="360" w:lineRule="auto"/>
        <w:rPr>
          <w:rFonts w:ascii="Times New Roman" w:eastAsia="Times New Roman" w:hAnsi="Times New Roman"/>
          <w:color w:val="000000" w:themeColor="text1"/>
        </w:rPr>
      </w:pPr>
    </w:p>
    <w:p w14:paraId="62F3EB74" w14:textId="77777777" w:rsidR="001D31C9" w:rsidRDefault="001D31C9" w:rsidP="00B34B59">
      <w:pPr>
        <w:pStyle w:val="Heading3"/>
        <w:spacing w:after="0" w:line="360" w:lineRule="auto"/>
        <w:rPr>
          <w:rFonts w:ascii="Times New Roman" w:eastAsia="Times New Roman" w:hAnsi="Times New Roman"/>
          <w:color w:val="000000" w:themeColor="text1"/>
        </w:rPr>
      </w:pPr>
    </w:p>
    <w:p w14:paraId="429CA851" w14:textId="77777777" w:rsidR="001D31C9" w:rsidRDefault="001D31C9" w:rsidP="00B34B59">
      <w:pPr>
        <w:pStyle w:val="Heading3"/>
        <w:spacing w:after="0" w:line="360" w:lineRule="auto"/>
        <w:rPr>
          <w:rFonts w:ascii="Times New Roman" w:eastAsia="Times New Roman" w:hAnsi="Times New Roman"/>
          <w:color w:val="000000" w:themeColor="text1"/>
        </w:rPr>
      </w:pPr>
    </w:p>
    <w:p w14:paraId="0EF209D7" w14:textId="77777777" w:rsidR="001D31C9" w:rsidRDefault="001D31C9" w:rsidP="00B34B59">
      <w:pPr>
        <w:pStyle w:val="Heading3"/>
        <w:spacing w:after="0" w:line="360" w:lineRule="auto"/>
        <w:rPr>
          <w:rFonts w:ascii="Times New Roman" w:eastAsia="Times New Roman" w:hAnsi="Times New Roman"/>
          <w:color w:val="000000" w:themeColor="text1"/>
        </w:rPr>
      </w:pPr>
    </w:p>
    <w:p w14:paraId="76702B7C" w14:textId="77777777" w:rsidR="00004CD5" w:rsidRPr="00004CD5" w:rsidRDefault="00E32DA1" w:rsidP="00E32DA1">
      <w:pPr>
        <w:pStyle w:val="Heading3"/>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004CD5" w:rsidRPr="00004CD5">
        <w:rPr>
          <w:rFonts w:ascii="Times New Roman" w:hAnsi="Times New Roman" w:cs="Times New Roman"/>
          <w:color w:val="000000" w:themeColor="text1"/>
        </w:rPr>
        <w:t xml:space="preserve">Figure 3. </w:t>
      </w:r>
      <w:r>
        <w:rPr>
          <w:rFonts w:ascii="Times New Roman" w:hAnsi="Times New Roman" w:cs="Times New Roman"/>
          <w:b w:val="0"/>
          <w:bCs w:val="0"/>
          <w:i/>
          <w:iCs/>
          <w:color w:val="000000" w:themeColor="text1"/>
        </w:rPr>
        <w:t xml:space="preserve"> The </w:t>
      </w:r>
      <w:r w:rsidR="00004CD5" w:rsidRPr="00004CD5">
        <w:rPr>
          <w:rFonts w:ascii="Times New Roman" w:hAnsi="Times New Roman" w:cs="Times New Roman"/>
          <w:b w:val="0"/>
          <w:bCs w:val="0"/>
          <w:i/>
          <w:iCs/>
          <w:color w:val="000000" w:themeColor="text1"/>
        </w:rPr>
        <w:t>formative feedback</w:t>
      </w:r>
      <w:r>
        <w:rPr>
          <w:rFonts w:ascii="Times New Roman" w:hAnsi="Times New Roman" w:cs="Times New Roman"/>
          <w:b w:val="0"/>
          <w:bCs w:val="0"/>
          <w:i/>
          <w:iCs/>
          <w:color w:val="000000" w:themeColor="text1"/>
        </w:rPr>
        <w:t xml:space="preserve"> component</w:t>
      </w:r>
    </w:p>
    <w:p w14:paraId="48411E98" w14:textId="77777777" w:rsidR="001D31C9" w:rsidRDefault="00E32DA1" w:rsidP="00B34B59">
      <w:pPr>
        <w:pStyle w:val="Heading3"/>
        <w:spacing w:after="0" w:line="360" w:lineRule="auto"/>
        <w:rPr>
          <w:rFonts w:ascii="Times New Roman" w:eastAsia="Times New Roman" w:hAnsi="Times New Roman"/>
          <w:color w:val="000000" w:themeColor="text1"/>
        </w:rPr>
      </w:pPr>
      <w:r w:rsidRPr="00712A7D">
        <w:rPr>
          <w:rFonts w:ascii="Calibri" w:eastAsia="Calibri" w:hAnsi="Calibri" w:cs="Times New Roman"/>
          <w:noProof/>
        </w:rPr>
        <w:drawing>
          <wp:anchor distT="114300" distB="114300" distL="114300" distR="114300" simplePos="0" relativeHeight="251662336" behindDoc="1" locked="0" layoutInCell="1" allowOverlap="1" wp14:anchorId="1924B83A" wp14:editId="2C47B12E">
            <wp:simplePos x="0" y="0"/>
            <wp:positionH relativeFrom="column">
              <wp:posOffset>692785</wp:posOffset>
            </wp:positionH>
            <wp:positionV relativeFrom="paragraph">
              <wp:posOffset>133985</wp:posOffset>
            </wp:positionV>
            <wp:extent cx="4584608" cy="2426970"/>
            <wp:effectExtent l="0" t="0" r="6985" b="0"/>
            <wp:wrapNone/>
            <wp:docPr id="30"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84608" cy="2426970"/>
                    </a:xfrm>
                    <a:prstGeom prst="rect">
                      <a:avLst/>
                    </a:prstGeom>
                    <a:noFill/>
                  </pic:spPr>
                </pic:pic>
              </a:graphicData>
            </a:graphic>
            <wp14:sizeRelH relativeFrom="page">
              <wp14:pctWidth>0</wp14:pctWidth>
            </wp14:sizeRelH>
            <wp14:sizeRelV relativeFrom="page">
              <wp14:pctHeight>0</wp14:pctHeight>
            </wp14:sizeRelV>
          </wp:anchor>
        </w:drawing>
      </w:r>
    </w:p>
    <w:p w14:paraId="053F9273" w14:textId="77777777" w:rsidR="00E32DA1" w:rsidRDefault="00E32DA1" w:rsidP="00B34B59">
      <w:pPr>
        <w:pStyle w:val="Heading3"/>
        <w:spacing w:after="0" w:line="360" w:lineRule="auto"/>
        <w:rPr>
          <w:rFonts w:ascii="Times New Roman" w:eastAsia="Times New Roman" w:hAnsi="Times New Roman"/>
          <w:color w:val="000000" w:themeColor="text1"/>
        </w:rPr>
      </w:pPr>
    </w:p>
    <w:p w14:paraId="72E20876" w14:textId="77777777" w:rsidR="00E32DA1" w:rsidRDefault="00E32DA1" w:rsidP="00B34B59">
      <w:pPr>
        <w:pStyle w:val="Heading3"/>
        <w:spacing w:after="0" w:line="360" w:lineRule="auto"/>
        <w:rPr>
          <w:rFonts w:ascii="Times New Roman" w:eastAsia="Times New Roman" w:hAnsi="Times New Roman"/>
          <w:color w:val="000000" w:themeColor="text1"/>
        </w:rPr>
      </w:pPr>
    </w:p>
    <w:p w14:paraId="646B8A08" w14:textId="77777777" w:rsidR="00E32DA1" w:rsidRDefault="00E32DA1" w:rsidP="00B34B59">
      <w:pPr>
        <w:pStyle w:val="Heading3"/>
        <w:spacing w:after="0" w:line="360" w:lineRule="auto"/>
        <w:rPr>
          <w:rFonts w:ascii="Times New Roman" w:eastAsia="Times New Roman" w:hAnsi="Times New Roman"/>
          <w:color w:val="000000" w:themeColor="text1"/>
        </w:rPr>
      </w:pPr>
    </w:p>
    <w:p w14:paraId="0C9B35CB" w14:textId="77777777" w:rsidR="00E32DA1" w:rsidRDefault="00E32DA1" w:rsidP="00B34B59">
      <w:pPr>
        <w:pStyle w:val="Heading3"/>
        <w:spacing w:after="0" w:line="360" w:lineRule="auto"/>
        <w:rPr>
          <w:rFonts w:ascii="Times New Roman" w:eastAsia="Times New Roman" w:hAnsi="Times New Roman"/>
          <w:color w:val="000000" w:themeColor="text1"/>
        </w:rPr>
      </w:pPr>
    </w:p>
    <w:p w14:paraId="396B5AE7" w14:textId="77777777" w:rsidR="00E32DA1" w:rsidRDefault="00E32DA1" w:rsidP="00B34B59">
      <w:pPr>
        <w:pStyle w:val="Heading3"/>
        <w:spacing w:after="0" w:line="360" w:lineRule="auto"/>
        <w:rPr>
          <w:rFonts w:ascii="Times New Roman" w:eastAsia="Times New Roman" w:hAnsi="Times New Roman"/>
          <w:color w:val="000000" w:themeColor="text1"/>
        </w:rPr>
      </w:pPr>
    </w:p>
    <w:p w14:paraId="668B258F" w14:textId="77777777" w:rsidR="00762E5F" w:rsidRPr="00997EE8" w:rsidRDefault="00E32DA1" w:rsidP="00B34B59">
      <w:pPr>
        <w:pStyle w:val="Heading3"/>
        <w:spacing w:after="0" w:line="360" w:lineRule="auto"/>
        <w:rPr>
          <w:color w:val="000000" w:themeColor="text1"/>
        </w:rPr>
      </w:pPr>
      <w:r>
        <w:rPr>
          <w:rFonts w:ascii="Times New Roman" w:eastAsia="Times New Roman" w:hAnsi="Times New Roman"/>
          <w:color w:val="000000" w:themeColor="text1"/>
        </w:rPr>
        <w:lastRenderedPageBreak/>
        <w:t>3</w:t>
      </w:r>
      <w:r w:rsidRPr="00997EE8">
        <w:rPr>
          <w:rFonts w:ascii="Times New Roman" w:eastAsia="Times New Roman" w:hAnsi="Times New Roman"/>
          <w:color w:val="000000" w:themeColor="text1"/>
        </w:rPr>
        <w:t xml:space="preserve">.2.2. </w:t>
      </w:r>
      <w:r w:rsidR="0036490A">
        <w:rPr>
          <w:rFonts w:ascii="Times New Roman" w:eastAsia="Times New Roman" w:hAnsi="Times New Roman"/>
          <w:color w:val="000000" w:themeColor="text1"/>
        </w:rPr>
        <w:t>Methodology</w:t>
      </w:r>
    </w:p>
    <w:p w14:paraId="032CD065" w14:textId="77777777" w:rsidR="00762E5F" w:rsidRDefault="00997EE8" w:rsidP="00B34B59">
      <w:pPr>
        <w:spacing w:after="0" w:line="360" w:lineRule="auto"/>
        <w:jc w:val="both"/>
      </w:pPr>
      <w:r>
        <w:tab/>
        <w:t>The study employed a single-group pre-test–post-test design. The sample comprised 55 participants, comprising undergraduate or postgraduate psychology students and a small number of therapists at the beginning of their supervised practice. Inclusion criteria required participants to be aged 18 or over and to be either psychology students or individuals undertaking supervised practice. Exclusion criteria included epilepsy, photosensitivity, severe mental disorders, or significant discomfort during VR tasks.</w:t>
      </w:r>
    </w:p>
    <w:p w14:paraId="69436651" w14:textId="77777777" w:rsidR="00762E5F" w:rsidRDefault="00997EE8" w:rsidP="00B34B59">
      <w:pPr>
        <w:spacing w:after="0" w:line="360" w:lineRule="auto"/>
        <w:jc w:val="both"/>
      </w:pPr>
      <w:r>
        <w:tab/>
        <w:t xml:space="preserve">The procedure took place in a research laboratory. Participants underwent a brief familiarisation with the application and watched an introductory video in which the virtual client explained the reason for attending psychotherapy. Following this introduction, participants completed the baseline measures: </w:t>
      </w:r>
      <w:r>
        <w:rPr>
          <w:i/>
          <w:iCs/>
        </w:rPr>
        <w:t xml:space="preserve">the Simulator Sickness Questionnaire </w:t>
      </w:r>
      <w:r w:rsidR="00204871">
        <w:t xml:space="preserve">(Kennedy et al., 1993) </w:t>
      </w:r>
      <w:r w:rsidRPr="00D13D7D">
        <w:rPr>
          <w:i/>
          <w:iCs/>
        </w:rPr>
        <w:t xml:space="preserve">and </w:t>
      </w:r>
      <w:r>
        <w:rPr>
          <w:i/>
          <w:iCs/>
        </w:rPr>
        <w:t xml:space="preserve">the State Empathy Scale </w:t>
      </w:r>
      <w:r w:rsidR="00204871">
        <w:t>(Shen, 2010)</w:t>
      </w:r>
      <w:r>
        <w:t xml:space="preserve">. They then undertook the experimental task in VR, namely a simulated psychotherapy session with the virtual client. At the end, they received summative and formative feedback, then completed the post-intervention measures: </w:t>
      </w:r>
      <w:r>
        <w:rPr>
          <w:i/>
        </w:rPr>
        <w:t>SSQ</w:t>
      </w:r>
      <w:r>
        <w:t xml:space="preserve">, </w:t>
      </w:r>
      <w:r>
        <w:rPr>
          <w:i/>
        </w:rPr>
        <w:t>SES</w:t>
      </w:r>
      <w:r>
        <w:t xml:space="preserve">, </w:t>
      </w:r>
      <w:r>
        <w:rPr>
          <w:i/>
        </w:rPr>
        <w:t xml:space="preserve">NASA-TLX </w:t>
      </w:r>
      <w:r>
        <w:t xml:space="preserve">and </w:t>
      </w:r>
      <w:r>
        <w:rPr>
          <w:i/>
        </w:rPr>
        <w:t>SUS</w:t>
      </w:r>
      <w:r>
        <w:t>.</w:t>
      </w:r>
    </w:p>
    <w:p w14:paraId="59B91109" w14:textId="77777777" w:rsidR="00762E5F" w:rsidRDefault="00D13D7D" w:rsidP="00B34B59">
      <w:pPr>
        <w:spacing w:after="0" w:line="360" w:lineRule="auto"/>
        <w:jc w:val="both"/>
      </w:pPr>
      <w:r>
        <w:tab/>
        <w:t>The application was used via a Meta Quest 2 headset (Meta Platforms, Inc., 2020). The virtual environment was designed as a minimalist simulation of an individual therapy session. The client presented with mild symptoms, including a depressed mood and relationship difficulties. The scenario was implemented as a branching narrative with 16 decision nodes, of which 9 were empathy-oriented and 7 were aimed at developing the therapeutic alliance. At each node, the user selected the response they considered most appropriate.</w:t>
      </w:r>
    </w:p>
    <w:p w14:paraId="2BCF6E6C" w14:textId="77777777" w:rsidR="00762E5F" w:rsidRDefault="00D13D7D" w:rsidP="00B34B59">
      <w:pPr>
        <w:spacing w:after="0" w:line="360" w:lineRule="auto"/>
        <w:jc w:val="both"/>
      </w:pPr>
      <w:r>
        <w:tab/>
        <w:t>Content validation was carried out by experts. In an initial stage, two expert psychologists reviewed the key elements of the therapeutic relationship suitable for inclusion in the app. Subsequently, five experts assessed the app’s textual content, including the virtual client’s dialogue and the psychotherapist’s response options. The assessment focused on both the relevance to empathy and the therapeutic alliance, as well as the clarity, realism and educational potential of the scenario.</w:t>
      </w:r>
    </w:p>
    <w:p w14:paraId="4FCBEB24" w14:textId="77777777" w:rsidR="00762E5F" w:rsidRDefault="0036490A" w:rsidP="00B34B59">
      <w:pPr>
        <w:spacing w:after="0" w:line="360" w:lineRule="auto"/>
        <w:jc w:val="both"/>
      </w:pPr>
      <w:r>
        <w:tab/>
      </w:r>
      <w:r w:rsidR="00B56470" w:rsidRPr="00B56470">
        <w:t xml:space="preserve">The instruments used included </w:t>
      </w:r>
      <w:r w:rsidR="00B56470" w:rsidRPr="00B56470">
        <w:rPr>
          <w:i/>
          <w:iCs/>
        </w:rPr>
        <w:t xml:space="preserve">the SSQ </w:t>
      </w:r>
      <w:r w:rsidR="00B56470" w:rsidRPr="00B56470">
        <w:t xml:space="preserve">for simulator sickness (Kennedy et al., 1993), </w:t>
      </w:r>
      <w:r w:rsidR="00B56470" w:rsidRPr="00B56470">
        <w:rPr>
          <w:i/>
          <w:iCs/>
        </w:rPr>
        <w:t xml:space="preserve">the SUS </w:t>
      </w:r>
      <w:r w:rsidR="00B56470" w:rsidRPr="00B56470">
        <w:t xml:space="preserve">for usability (Brooke, 1996), </w:t>
      </w:r>
      <w:r w:rsidR="00B56470" w:rsidRPr="00B56470">
        <w:rPr>
          <w:i/>
          <w:iCs/>
        </w:rPr>
        <w:t xml:space="preserve">the NASA-TLX </w:t>
      </w:r>
      <w:r w:rsidR="00B56470" w:rsidRPr="00B56470">
        <w:t xml:space="preserve">for cognitive load (Hart &amp; Staveland, 1988) and </w:t>
      </w:r>
      <w:r w:rsidR="00B56470" w:rsidRPr="00B56470">
        <w:rPr>
          <w:i/>
          <w:iCs/>
        </w:rPr>
        <w:t xml:space="preserve">the State Empathy Scale </w:t>
      </w:r>
      <w:r w:rsidR="00B56470" w:rsidRPr="00B56470">
        <w:t>for state empathy (Shen, 2010). Statistical analyses were carried out in SPSS</w:t>
      </w:r>
      <w:r w:rsidR="00B56470">
        <w:t xml:space="preserve">. </w:t>
      </w:r>
      <w:r>
        <w:t xml:space="preserve">Feasibility and usability were analysed descriptively, whilst pre-post changes in empathy </w:t>
      </w:r>
      <w:r>
        <w:lastRenderedPageBreak/>
        <w:t>and simulator sickness were examined using t-tests for paired samples. Inter-rater agreement was assessed using Kendall’s W coefficient.</w:t>
      </w:r>
    </w:p>
    <w:p w14:paraId="5D08AFF9" w14:textId="77777777" w:rsidR="00762E5F" w:rsidRPr="00D13D7D" w:rsidRDefault="00000000" w:rsidP="00B34B59">
      <w:pPr>
        <w:pStyle w:val="Heading3"/>
        <w:spacing w:after="0" w:line="360" w:lineRule="auto"/>
        <w:rPr>
          <w:color w:val="000000" w:themeColor="text1"/>
        </w:rPr>
      </w:pPr>
      <w:r w:rsidRPr="00D13D7D">
        <w:rPr>
          <w:rFonts w:ascii="Times New Roman" w:eastAsia="Times New Roman" w:hAnsi="Times New Roman"/>
          <w:color w:val="000000" w:themeColor="text1"/>
        </w:rPr>
        <w:t>3.2.3. Results</w:t>
      </w:r>
    </w:p>
    <w:p w14:paraId="3153D2E0" w14:textId="77777777" w:rsidR="00762E5F" w:rsidRDefault="00D13D7D" w:rsidP="00B34B59">
      <w:pPr>
        <w:spacing w:after="0" w:line="360" w:lineRule="auto"/>
        <w:jc w:val="both"/>
      </w:pPr>
      <w:r>
        <w:tab/>
        <w:t xml:space="preserve">The results regarding </w:t>
      </w:r>
      <w:r w:rsidR="00DD6165">
        <w:rPr>
          <w:lang w:val="ro-RO"/>
        </w:rPr>
        <w:t xml:space="preserve">simulator sickness </w:t>
      </w:r>
      <w:r>
        <w:t xml:space="preserve">indicated only slight increases between the pre-test and post-test, with no statistically significant differences. </w:t>
      </w:r>
      <w:r w:rsidR="00DD6165">
        <w:t>Scores on the questionnaire’s subscales (malaise</w:t>
      </w:r>
      <w:r>
        <w:t>, oculomotor disturbances, disorientation</w:t>
      </w:r>
      <w:r w:rsidR="00DD6165">
        <w:t xml:space="preserve">) </w:t>
      </w:r>
      <w:r>
        <w:t xml:space="preserve">and the total </w:t>
      </w:r>
      <w:r>
        <w:rPr>
          <w:i/>
        </w:rPr>
        <w:t>SSQ</w:t>
      </w:r>
      <w:r>
        <w:t xml:space="preserve"> score </w:t>
      </w:r>
      <w:r w:rsidR="00B56470">
        <w:t>did</w:t>
      </w:r>
      <w:r>
        <w:t xml:space="preserve"> not change significantly (Table 3). This result suggests that exposure to the </w:t>
      </w:r>
      <w:r>
        <w:rPr>
          <w:i/>
        </w:rPr>
        <w:t xml:space="preserve">Future Psychotherapists </w:t>
      </w:r>
      <w:r>
        <w:t xml:space="preserve">app did not cause significant discomfort and that the app can be used in a training session without major interference from symptoms </w:t>
      </w:r>
      <w:r w:rsidR="00DD6165">
        <w:t>of simulator sickness (VR)</w:t>
      </w:r>
      <w:r>
        <w:t>.</w:t>
      </w:r>
    </w:p>
    <w:p w14:paraId="77CDB908" w14:textId="77777777" w:rsidR="00762E5F" w:rsidRDefault="00DD6165" w:rsidP="00B34B59">
      <w:pPr>
        <w:spacing w:after="0" w:line="360" w:lineRule="auto"/>
        <w:jc w:val="both"/>
      </w:pPr>
      <w:r>
        <w:tab/>
        <w:t xml:space="preserve">Usability was rated very favourably. The mean score on </w:t>
      </w:r>
      <w:r>
        <w:rPr>
          <w:i/>
        </w:rPr>
        <w:t xml:space="preserve">the System Usability Scale </w:t>
      </w:r>
      <w:r w:rsidR="00204871">
        <w:t xml:space="preserve">(Brooke, 1996) </w:t>
      </w:r>
      <w:r>
        <w:t xml:space="preserve">was M = 85.09, SD = 9.54, above the usual threshold of 68, indicating that the application was perceived as well-designed and easy to use. The cognitive load reported using </w:t>
      </w:r>
      <w:r>
        <w:rPr>
          <w:i/>
        </w:rPr>
        <w:t xml:space="preserve">the NASA-TLX </w:t>
      </w:r>
      <w:r w:rsidR="00204871">
        <w:t xml:space="preserve">(Hart &amp; Staveland, 1988) </w:t>
      </w:r>
      <w:r>
        <w:t>was low to moderate, M = 32.50, SD = 17.13, suggesting that the task did not exceed the participants’ cognitive resources and remained compatible with learning.</w:t>
      </w:r>
    </w:p>
    <w:p w14:paraId="2A406A0F" w14:textId="77777777" w:rsidR="00762E5F" w:rsidRDefault="00DD6165" w:rsidP="00B34B59">
      <w:pPr>
        <w:spacing w:after="0" w:line="360" w:lineRule="auto"/>
        <w:jc w:val="both"/>
      </w:pPr>
      <w:r>
        <w:tab/>
        <w:t>Expert evaluation supported the content validity of the application. The empathy-oriented content received an average score of M = 4.40, SD = 0.30, whilst the therapeutic alliance-oriented content likewise received an average score of M = 4.00, SD = 0.17, on a scale of 1 to 5. The overall quality of the content received the highest score, M = 4.76, SD = 0.33. Inter-rater agreement was very high, Kendall’s W = .96, chi-squared(2) = 9.58, p = .008.</w:t>
      </w:r>
    </w:p>
    <w:p w14:paraId="0431888F" w14:textId="77777777" w:rsidR="00204871" w:rsidRDefault="00DD6165" w:rsidP="00B34B59">
      <w:pPr>
        <w:spacing w:after="0" w:line="360" w:lineRule="auto"/>
        <w:jc w:val="both"/>
      </w:pPr>
      <w:r>
        <w:tab/>
        <w:t xml:space="preserve">With regard to the exploratory objective, empathy scores increased significantly from the pre-test to the post-test for all three dimensions of </w:t>
      </w:r>
      <w:r>
        <w:rPr>
          <w:i/>
        </w:rPr>
        <w:t xml:space="preserve">the State Empathy Scale </w:t>
      </w:r>
      <w:r w:rsidR="00204871">
        <w:t xml:space="preserve">(Shen, 2010) </w:t>
      </w:r>
    </w:p>
    <w:p w14:paraId="7B5097E2" w14:textId="77777777" w:rsidR="00762E5F" w:rsidRDefault="00DD6165" w:rsidP="00B34B59">
      <w:pPr>
        <w:spacing w:after="0" w:line="360" w:lineRule="auto"/>
        <w:jc w:val="both"/>
      </w:pPr>
      <w:r>
        <w:t>(Table 3). These results suggest that a single VR session may facilitate a state-empathy response, although the lack of a control group in the design calls for caution in drawing causal inferences.</w:t>
      </w:r>
    </w:p>
    <w:p w14:paraId="5DDFB34F" w14:textId="77777777" w:rsidR="00204871" w:rsidRDefault="00204871" w:rsidP="00B34B59">
      <w:pPr>
        <w:spacing w:after="0" w:line="360" w:lineRule="auto"/>
        <w:jc w:val="both"/>
      </w:pPr>
    </w:p>
    <w:p w14:paraId="69EEC16D" w14:textId="77777777" w:rsidR="002910A1" w:rsidRDefault="00204871" w:rsidP="00B34B59">
      <w:pPr>
        <w:spacing w:after="0" w:line="360" w:lineRule="auto"/>
        <w:jc w:val="both"/>
        <w:rPr>
          <w:i/>
          <w:iCs/>
        </w:rPr>
      </w:pPr>
      <w:r>
        <w:rPr>
          <w:b/>
          <w:bCs/>
        </w:rPr>
        <w:tab/>
      </w:r>
      <w:r w:rsidR="002910A1" w:rsidRPr="00204871">
        <w:rPr>
          <w:b/>
          <w:bCs/>
        </w:rPr>
        <w:t>Table 3</w:t>
      </w:r>
      <w:r w:rsidR="002910A1">
        <w:t xml:space="preserve">. </w:t>
      </w:r>
      <w:r w:rsidR="002910A1" w:rsidRPr="00204871">
        <w:rPr>
          <w:i/>
          <w:iCs/>
        </w:rPr>
        <w:t xml:space="preserve">Differences from T1 to T2 for SSQ and </w:t>
      </w:r>
      <w:r w:rsidR="006F6F24">
        <w:rPr>
          <w:i/>
          <w:iCs/>
        </w:rPr>
        <w:t xml:space="preserve">state </w:t>
      </w:r>
      <w:r w:rsidR="002910A1" w:rsidRPr="00204871">
        <w:rPr>
          <w:i/>
          <w:iCs/>
        </w:rPr>
        <w:t>empathy</w:t>
      </w:r>
    </w:p>
    <w:p w14:paraId="077F69BD" w14:textId="77777777" w:rsidR="00204871" w:rsidRPr="002910A1" w:rsidRDefault="00204871" w:rsidP="00B34B59">
      <w:pPr>
        <w:spacing w:after="0" w:line="360" w:lineRule="auto"/>
        <w:jc w:val="both"/>
        <w:rPr>
          <w:i/>
          <w:iCs/>
        </w:rPr>
      </w:pPr>
    </w:p>
    <w:tbl>
      <w:tblPr>
        <w:tblStyle w:val="TableGrid"/>
        <w:tblW w:w="0" w:type="auto"/>
        <w:jc w:val="center"/>
        <w:tblLook w:val="04A0" w:firstRow="1" w:lastRow="0" w:firstColumn="1" w:lastColumn="0" w:noHBand="0" w:noVBand="1"/>
      </w:tblPr>
      <w:tblGrid>
        <w:gridCol w:w="2363"/>
        <w:gridCol w:w="2317"/>
        <w:gridCol w:w="2330"/>
        <w:gridCol w:w="2386"/>
      </w:tblGrid>
      <w:tr w:rsidR="00762E5F" w14:paraId="42A8291C" w14:textId="77777777">
        <w:trPr>
          <w:cantSplit/>
          <w:jc w:val="center"/>
        </w:trPr>
        <w:tc>
          <w:tcPr>
            <w:tcW w:w="2484" w:type="dxa"/>
            <w:vAlign w:val="center"/>
          </w:tcPr>
          <w:p w14:paraId="3E0823CB" w14:textId="77777777" w:rsidR="00762E5F" w:rsidRDefault="00000000" w:rsidP="00B34B59">
            <w:pPr>
              <w:spacing w:after="0" w:line="360" w:lineRule="auto"/>
              <w:jc w:val="center"/>
            </w:pPr>
            <w:r>
              <w:rPr>
                <w:b/>
                <w:sz w:val="20"/>
              </w:rPr>
              <w:t>Variable</w:t>
            </w:r>
          </w:p>
        </w:tc>
        <w:tc>
          <w:tcPr>
            <w:tcW w:w="2484" w:type="dxa"/>
            <w:vAlign w:val="center"/>
          </w:tcPr>
          <w:p w14:paraId="5951FC0F" w14:textId="77777777" w:rsidR="00762E5F" w:rsidRDefault="00000000" w:rsidP="00B34B59">
            <w:pPr>
              <w:spacing w:after="0" w:line="360" w:lineRule="auto"/>
              <w:jc w:val="center"/>
            </w:pPr>
            <w:r>
              <w:rPr>
                <w:b/>
                <w:sz w:val="20"/>
              </w:rPr>
              <w:t>Time point</w:t>
            </w:r>
          </w:p>
        </w:tc>
        <w:tc>
          <w:tcPr>
            <w:tcW w:w="2484" w:type="dxa"/>
            <w:vAlign w:val="center"/>
          </w:tcPr>
          <w:p w14:paraId="393FB912" w14:textId="77777777" w:rsidR="00762E5F" w:rsidRDefault="00000000" w:rsidP="00B34B59">
            <w:pPr>
              <w:spacing w:after="0" w:line="360" w:lineRule="auto"/>
              <w:jc w:val="center"/>
            </w:pPr>
            <w:r>
              <w:rPr>
                <w:b/>
                <w:sz w:val="20"/>
              </w:rPr>
              <w:t>M (SD)</w:t>
            </w:r>
          </w:p>
        </w:tc>
        <w:tc>
          <w:tcPr>
            <w:tcW w:w="2484" w:type="dxa"/>
            <w:vAlign w:val="center"/>
          </w:tcPr>
          <w:p w14:paraId="5CABB769" w14:textId="77777777" w:rsidR="00762E5F" w:rsidRDefault="00000000" w:rsidP="00B34B59">
            <w:pPr>
              <w:spacing w:after="0" w:line="360" w:lineRule="auto"/>
              <w:jc w:val="center"/>
            </w:pPr>
            <w:r>
              <w:rPr>
                <w:b/>
                <w:sz w:val="20"/>
              </w:rPr>
              <w:t>Test / interpretation</w:t>
            </w:r>
          </w:p>
        </w:tc>
      </w:tr>
      <w:tr w:rsidR="00762E5F" w14:paraId="1754E62E" w14:textId="77777777">
        <w:trPr>
          <w:cantSplit/>
          <w:jc w:val="center"/>
        </w:trPr>
        <w:tc>
          <w:tcPr>
            <w:tcW w:w="2484" w:type="dxa"/>
            <w:vAlign w:val="center"/>
          </w:tcPr>
          <w:p w14:paraId="483DFB93" w14:textId="77777777" w:rsidR="00762E5F" w:rsidRDefault="00000000" w:rsidP="00B34B59">
            <w:pPr>
              <w:spacing w:after="0" w:line="360" w:lineRule="auto"/>
            </w:pPr>
            <w:r>
              <w:rPr>
                <w:sz w:val="20"/>
              </w:rPr>
              <w:t xml:space="preserve">Total </w:t>
            </w:r>
            <w:r>
              <w:rPr>
                <w:i/>
                <w:sz w:val="20"/>
              </w:rPr>
              <w:t>SSQ</w:t>
            </w:r>
          </w:p>
        </w:tc>
        <w:tc>
          <w:tcPr>
            <w:tcW w:w="2484" w:type="dxa"/>
            <w:vAlign w:val="center"/>
          </w:tcPr>
          <w:p w14:paraId="0CE91F88" w14:textId="77777777" w:rsidR="00762E5F" w:rsidRDefault="00000000" w:rsidP="00B34B59">
            <w:pPr>
              <w:spacing w:after="0" w:line="360" w:lineRule="auto"/>
              <w:jc w:val="center"/>
            </w:pPr>
            <w:r>
              <w:rPr>
                <w:sz w:val="20"/>
              </w:rPr>
              <w:t>T1</w:t>
            </w:r>
          </w:p>
        </w:tc>
        <w:tc>
          <w:tcPr>
            <w:tcW w:w="2484" w:type="dxa"/>
            <w:vAlign w:val="center"/>
          </w:tcPr>
          <w:p w14:paraId="666B51D0" w14:textId="77777777" w:rsidR="00762E5F" w:rsidRDefault="00000000" w:rsidP="00B34B59">
            <w:pPr>
              <w:spacing w:after="0" w:line="360" w:lineRule="auto"/>
              <w:jc w:val="center"/>
            </w:pPr>
            <w:r>
              <w:rPr>
                <w:sz w:val="20"/>
              </w:rPr>
              <w:t>16.86 (23.23)</w:t>
            </w:r>
          </w:p>
        </w:tc>
        <w:tc>
          <w:tcPr>
            <w:tcW w:w="2484" w:type="dxa"/>
            <w:vAlign w:val="center"/>
          </w:tcPr>
          <w:p w14:paraId="3E2E7540" w14:textId="77777777" w:rsidR="00762E5F" w:rsidRDefault="00000000" w:rsidP="00B34B59">
            <w:pPr>
              <w:spacing w:after="0" w:line="360" w:lineRule="auto"/>
              <w:jc w:val="center"/>
            </w:pPr>
            <w:r>
              <w:rPr>
                <w:sz w:val="20"/>
              </w:rPr>
              <w:t>baseline</w:t>
            </w:r>
          </w:p>
        </w:tc>
      </w:tr>
      <w:tr w:rsidR="00762E5F" w14:paraId="43EA4A0B" w14:textId="77777777">
        <w:trPr>
          <w:cantSplit/>
          <w:jc w:val="center"/>
        </w:trPr>
        <w:tc>
          <w:tcPr>
            <w:tcW w:w="2484" w:type="dxa"/>
            <w:vAlign w:val="center"/>
          </w:tcPr>
          <w:p w14:paraId="2F0F2297" w14:textId="77777777" w:rsidR="00762E5F" w:rsidRDefault="00000000" w:rsidP="00B34B59">
            <w:pPr>
              <w:spacing w:after="0" w:line="360" w:lineRule="auto"/>
            </w:pPr>
            <w:r>
              <w:rPr>
                <w:sz w:val="20"/>
              </w:rPr>
              <w:t xml:space="preserve">Total </w:t>
            </w:r>
            <w:r>
              <w:rPr>
                <w:i/>
                <w:sz w:val="20"/>
              </w:rPr>
              <w:t>SSQ</w:t>
            </w:r>
          </w:p>
        </w:tc>
        <w:tc>
          <w:tcPr>
            <w:tcW w:w="2484" w:type="dxa"/>
            <w:vAlign w:val="center"/>
          </w:tcPr>
          <w:p w14:paraId="72AED750" w14:textId="77777777" w:rsidR="00762E5F" w:rsidRDefault="00000000" w:rsidP="00B34B59">
            <w:pPr>
              <w:spacing w:after="0" w:line="360" w:lineRule="auto"/>
              <w:jc w:val="center"/>
            </w:pPr>
            <w:r>
              <w:rPr>
                <w:sz w:val="20"/>
              </w:rPr>
              <w:t>T2</w:t>
            </w:r>
          </w:p>
        </w:tc>
        <w:tc>
          <w:tcPr>
            <w:tcW w:w="2484" w:type="dxa"/>
            <w:vAlign w:val="center"/>
          </w:tcPr>
          <w:p w14:paraId="38871DCF" w14:textId="77777777" w:rsidR="00762E5F" w:rsidRDefault="00000000" w:rsidP="00B34B59">
            <w:pPr>
              <w:spacing w:after="0" w:line="360" w:lineRule="auto"/>
              <w:jc w:val="center"/>
            </w:pPr>
            <w:r>
              <w:rPr>
                <w:sz w:val="20"/>
              </w:rPr>
              <w:t>21.49 (34.17)</w:t>
            </w:r>
          </w:p>
        </w:tc>
        <w:tc>
          <w:tcPr>
            <w:tcW w:w="2484" w:type="dxa"/>
            <w:vAlign w:val="center"/>
          </w:tcPr>
          <w:p w14:paraId="328F70E2" w14:textId="77777777" w:rsidR="00762E5F" w:rsidRDefault="00000000" w:rsidP="00B34B59">
            <w:pPr>
              <w:spacing w:after="0" w:line="360" w:lineRule="auto"/>
              <w:jc w:val="center"/>
            </w:pPr>
            <w:r>
              <w:rPr>
                <w:sz w:val="20"/>
              </w:rPr>
              <w:t>non-significant difference, p = .334</w:t>
            </w:r>
          </w:p>
        </w:tc>
      </w:tr>
      <w:tr w:rsidR="00762E5F" w14:paraId="611EE372" w14:textId="77777777">
        <w:trPr>
          <w:cantSplit/>
          <w:jc w:val="center"/>
        </w:trPr>
        <w:tc>
          <w:tcPr>
            <w:tcW w:w="2484" w:type="dxa"/>
            <w:vAlign w:val="center"/>
          </w:tcPr>
          <w:p w14:paraId="0E276DD4" w14:textId="77777777" w:rsidR="00762E5F" w:rsidRDefault="00000000" w:rsidP="00B34B59">
            <w:pPr>
              <w:spacing w:after="0" w:line="360" w:lineRule="auto"/>
            </w:pPr>
            <w:r>
              <w:rPr>
                <w:i/>
                <w:sz w:val="20"/>
              </w:rPr>
              <w:t>SUS</w:t>
            </w:r>
          </w:p>
        </w:tc>
        <w:tc>
          <w:tcPr>
            <w:tcW w:w="2484" w:type="dxa"/>
            <w:vAlign w:val="center"/>
          </w:tcPr>
          <w:p w14:paraId="19AD0BB9" w14:textId="77777777" w:rsidR="00762E5F" w:rsidRDefault="00000000" w:rsidP="00B34B59">
            <w:pPr>
              <w:spacing w:after="0" w:line="360" w:lineRule="auto"/>
              <w:jc w:val="center"/>
            </w:pPr>
            <w:r>
              <w:rPr>
                <w:sz w:val="20"/>
              </w:rPr>
              <w:t>T2</w:t>
            </w:r>
          </w:p>
        </w:tc>
        <w:tc>
          <w:tcPr>
            <w:tcW w:w="2484" w:type="dxa"/>
            <w:vAlign w:val="center"/>
          </w:tcPr>
          <w:p w14:paraId="1EA78A68" w14:textId="77777777" w:rsidR="00762E5F" w:rsidRDefault="00000000" w:rsidP="00B34B59">
            <w:pPr>
              <w:spacing w:after="0" w:line="360" w:lineRule="auto"/>
              <w:jc w:val="center"/>
            </w:pPr>
            <w:r>
              <w:rPr>
                <w:sz w:val="20"/>
              </w:rPr>
              <w:t>85.09 (9.54)</w:t>
            </w:r>
          </w:p>
        </w:tc>
        <w:tc>
          <w:tcPr>
            <w:tcW w:w="2484" w:type="dxa"/>
            <w:vAlign w:val="center"/>
          </w:tcPr>
          <w:p w14:paraId="1C75753A" w14:textId="77777777" w:rsidR="00762E5F" w:rsidRDefault="00000000" w:rsidP="00B34B59">
            <w:pPr>
              <w:spacing w:after="0" w:line="360" w:lineRule="auto"/>
              <w:jc w:val="center"/>
            </w:pPr>
            <w:r>
              <w:rPr>
                <w:sz w:val="20"/>
              </w:rPr>
              <w:t>high usability</w:t>
            </w:r>
          </w:p>
        </w:tc>
      </w:tr>
      <w:tr w:rsidR="00762E5F" w14:paraId="0BC86021" w14:textId="77777777">
        <w:trPr>
          <w:cantSplit/>
          <w:jc w:val="center"/>
        </w:trPr>
        <w:tc>
          <w:tcPr>
            <w:tcW w:w="2484" w:type="dxa"/>
            <w:vAlign w:val="center"/>
          </w:tcPr>
          <w:p w14:paraId="79088126" w14:textId="77777777" w:rsidR="00762E5F" w:rsidRDefault="00000000" w:rsidP="00B34B59">
            <w:pPr>
              <w:spacing w:after="0" w:line="360" w:lineRule="auto"/>
            </w:pPr>
            <w:r>
              <w:rPr>
                <w:i/>
                <w:sz w:val="20"/>
              </w:rPr>
              <w:lastRenderedPageBreak/>
              <w:t>NASA-TLX</w:t>
            </w:r>
          </w:p>
        </w:tc>
        <w:tc>
          <w:tcPr>
            <w:tcW w:w="2484" w:type="dxa"/>
            <w:vAlign w:val="center"/>
          </w:tcPr>
          <w:p w14:paraId="564F8EDB" w14:textId="77777777" w:rsidR="00762E5F" w:rsidRDefault="00000000" w:rsidP="00B34B59">
            <w:pPr>
              <w:spacing w:after="0" w:line="360" w:lineRule="auto"/>
              <w:jc w:val="center"/>
            </w:pPr>
            <w:r>
              <w:rPr>
                <w:sz w:val="20"/>
              </w:rPr>
              <w:t>T2</w:t>
            </w:r>
          </w:p>
        </w:tc>
        <w:tc>
          <w:tcPr>
            <w:tcW w:w="2484" w:type="dxa"/>
            <w:vAlign w:val="center"/>
          </w:tcPr>
          <w:p w14:paraId="452851BB" w14:textId="77777777" w:rsidR="00762E5F" w:rsidRDefault="00000000" w:rsidP="00B34B59">
            <w:pPr>
              <w:spacing w:after="0" w:line="360" w:lineRule="auto"/>
              <w:jc w:val="center"/>
            </w:pPr>
            <w:r>
              <w:rPr>
                <w:sz w:val="20"/>
              </w:rPr>
              <w:t>32.50 (17.13)</w:t>
            </w:r>
          </w:p>
        </w:tc>
        <w:tc>
          <w:tcPr>
            <w:tcW w:w="2484" w:type="dxa"/>
            <w:vAlign w:val="center"/>
          </w:tcPr>
          <w:p w14:paraId="36D45B89" w14:textId="77777777" w:rsidR="00762E5F" w:rsidRDefault="00000000" w:rsidP="00B34B59">
            <w:pPr>
              <w:spacing w:after="0" w:line="360" w:lineRule="auto"/>
              <w:jc w:val="center"/>
            </w:pPr>
            <w:r>
              <w:rPr>
                <w:sz w:val="20"/>
              </w:rPr>
              <w:t>low to moderate workload</w:t>
            </w:r>
          </w:p>
        </w:tc>
      </w:tr>
      <w:tr w:rsidR="00762E5F" w14:paraId="66C54615" w14:textId="77777777">
        <w:trPr>
          <w:cantSplit/>
          <w:jc w:val="center"/>
        </w:trPr>
        <w:tc>
          <w:tcPr>
            <w:tcW w:w="2484" w:type="dxa"/>
            <w:vAlign w:val="center"/>
          </w:tcPr>
          <w:p w14:paraId="211C7ECC" w14:textId="77777777" w:rsidR="00762E5F" w:rsidRDefault="00000000" w:rsidP="00B34B59">
            <w:pPr>
              <w:spacing w:after="0" w:line="360" w:lineRule="auto"/>
            </w:pPr>
            <w:r>
              <w:rPr>
                <w:sz w:val="20"/>
              </w:rPr>
              <w:t>Affective empathy</w:t>
            </w:r>
          </w:p>
        </w:tc>
        <w:tc>
          <w:tcPr>
            <w:tcW w:w="2484" w:type="dxa"/>
            <w:vAlign w:val="center"/>
          </w:tcPr>
          <w:p w14:paraId="5D392369" w14:textId="77777777" w:rsidR="00762E5F" w:rsidRDefault="00000000" w:rsidP="00B34B59">
            <w:pPr>
              <w:spacing w:after="0" w:line="360" w:lineRule="auto"/>
              <w:jc w:val="center"/>
            </w:pPr>
            <w:r>
              <w:rPr>
                <w:sz w:val="20"/>
              </w:rPr>
              <w:t>T1–T2</w:t>
            </w:r>
          </w:p>
        </w:tc>
        <w:tc>
          <w:tcPr>
            <w:tcW w:w="2484" w:type="dxa"/>
            <w:vAlign w:val="center"/>
          </w:tcPr>
          <w:p w14:paraId="74106209" w14:textId="77777777" w:rsidR="00762E5F" w:rsidRDefault="00000000" w:rsidP="00B34B59">
            <w:pPr>
              <w:spacing w:after="0" w:line="360" w:lineRule="auto"/>
              <w:jc w:val="center"/>
            </w:pPr>
            <w:r>
              <w:rPr>
                <w:sz w:val="20"/>
              </w:rPr>
              <w:t>14.20 → 16.22</w:t>
            </w:r>
          </w:p>
        </w:tc>
        <w:tc>
          <w:tcPr>
            <w:tcW w:w="2484" w:type="dxa"/>
            <w:vAlign w:val="center"/>
          </w:tcPr>
          <w:p w14:paraId="338DECE1" w14:textId="77777777" w:rsidR="00762E5F" w:rsidRDefault="00000000" w:rsidP="00B34B59">
            <w:pPr>
              <w:spacing w:after="0" w:line="360" w:lineRule="auto"/>
              <w:jc w:val="center"/>
            </w:pPr>
            <w:r>
              <w:rPr>
                <w:sz w:val="20"/>
              </w:rPr>
              <w:t>significant increase, p &lt; .001</w:t>
            </w:r>
          </w:p>
        </w:tc>
      </w:tr>
      <w:tr w:rsidR="00762E5F" w14:paraId="6DA35460" w14:textId="77777777">
        <w:trPr>
          <w:cantSplit/>
          <w:jc w:val="center"/>
        </w:trPr>
        <w:tc>
          <w:tcPr>
            <w:tcW w:w="2484" w:type="dxa"/>
            <w:vAlign w:val="center"/>
          </w:tcPr>
          <w:p w14:paraId="391E855F" w14:textId="77777777" w:rsidR="00762E5F" w:rsidRDefault="00000000" w:rsidP="00B34B59">
            <w:pPr>
              <w:spacing w:after="0" w:line="360" w:lineRule="auto"/>
            </w:pPr>
            <w:r>
              <w:rPr>
                <w:sz w:val="20"/>
              </w:rPr>
              <w:t>Cognitive empathy</w:t>
            </w:r>
          </w:p>
        </w:tc>
        <w:tc>
          <w:tcPr>
            <w:tcW w:w="2484" w:type="dxa"/>
            <w:vAlign w:val="center"/>
          </w:tcPr>
          <w:p w14:paraId="62EF5D02" w14:textId="77777777" w:rsidR="00762E5F" w:rsidRDefault="00000000" w:rsidP="00B34B59">
            <w:pPr>
              <w:spacing w:after="0" w:line="360" w:lineRule="auto"/>
              <w:jc w:val="center"/>
            </w:pPr>
            <w:r>
              <w:rPr>
                <w:sz w:val="20"/>
              </w:rPr>
              <w:t>T1–T2</w:t>
            </w:r>
          </w:p>
        </w:tc>
        <w:tc>
          <w:tcPr>
            <w:tcW w:w="2484" w:type="dxa"/>
            <w:vAlign w:val="center"/>
          </w:tcPr>
          <w:p w14:paraId="13D00B38" w14:textId="77777777" w:rsidR="00762E5F" w:rsidRDefault="00000000" w:rsidP="00B34B59">
            <w:pPr>
              <w:spacing w:after="0" w:line="360" w:lineRule="auto"/>
              <w:jc w:val="center"/>
            </w:pPr>
            <w:r>
              <w:rPr>
                <w:sz w:val="20"/>
              </w:rPr>
              <w:t>17.56 → 19.13</w:t>
            </w:r>
          </w:p>
        </w:tc>
        <w:tc>
          <w:tcPr>
            <w:tcW w:w="2484" w:type="dxa"/>
            <w:vAlign w:val="center"/>
          </w:tcPr>
          <w:p w14:paraId="2F4B0FA1" w14:textId="77777777" w:rsidR="00762E5F" w:rsidRDefault="00000000" w:rsidP="00B34B59">
            <w:pPr>
              <w:spacing w:after="0" w:line="360" w:lineRule="auto"/>
              <w:jc w:val="center"/>
            </w:pPr>
            <w:r>
              <w:rPr>
                <w:sz w:val="20"/>
              </w:rPr>
              <w:t>significant increase, p &lt; .001</w:t>
            </w:r>
          </w:p>
        </w:tc>
      </w:tr>
      <w:tr w:rsidR="00762E5F" w14:paraId="5B512420" w14:textId="77777777">
        <w:trPr>
          <w:cantSplit/>
          <w:jc w:val="center"/>
        </w:trPr>
        <w:tc>
          <w:tcPr>
            <w:tcW w:w="2484" w:type="dxa"/>
            <w:vAlign w:val="center"/>
          </w:tcPr>
          <w:p w14:paraId="2DE8CC41" w14:textId="77777777" w:rsidR="00762E5F" w:rsidRDefault="00000000" w:rsidP="00B34B59">
            <w:pPr>
              <w:spacing w:after="0" w:line="360" w:lineRule="auto"/>
            </w:pPr>
            <w:r>
              <w:rPr>
                <w:sz w:val="20"/>
              </w:rPr>
              <w:t>Associative empathy</w:t>
            </w:r>
          </w:p>
        </w:tc>
        <w:tc>
          <w:tcPr>
            <w:tcW w:w="2484" w:type="dxa"/>
            <w:vAlign w:val="center"/>
          </w:tcPr>
          <w:p w14:paraId="56F0AA4F" w14:textId="77777777" w:rsidR="00762E5F" w:rsidRDefault="00000000" w:rsidP="00B34B59">
            <w:pPr>
              <w:spacing w:after="0" w:line="360" w:lineRule="auto"/>
              <w:jc w:val="center"/>
            </w:pPr>
            <w:r>
              <w:rPr>
                <w:sz w:val="20"/>
              </w:rPr>
              <w:t>T1–T2</w:t>
            </w:r>
          </w:p>
        </w:tc>
        <w:tc>
          <w:tcPr>
            <w:tcW w:w="2484" w:type="dxa"/>
            <w:vAlign w:val="center"/>
          </w:tcPr>
          <w:p w14:paraId="69C28A97" w14:textId="77777777" w:rsidR="00762E5F" w:rsidRDefault="00000000" w:rsidP="00B34B59">
            <w:pPr>
              <w:spacing w:after="0" w:line="360" w:lineRule="auto"/>
              <w:jc w:val="center"/>
            </w:pPr>
            <w:r>
              <w:rPr>
                <w:sz w:val="20"/>
              </w:rPr>
              <w:t>15.02 → 16.69</w:t>
            </w:r>
          </w:p>
        </w:tc>
        <w:tc>
          <w:tcPr>
            <w:tcW w:w="2484" w:type="dxa"/>
            <w:vAlign w:val="center"/>
          </w:tcPr>
          <w:p w14:paraId="674BA04A" w14:textId="77777777" w:rsidR="00762E5F" w:rsidRDefault="00000000" w:rsidP="00B34B59">
            <w:pPr>
              <w:spacing w:after="0" w:line="360" w:lineRule="auto"/>
              <w:jc w:val="center"/>
            </w:pPr>
            <w:r>
              <w:rPr>
                <w:sz w:val="20"/>
              </w:rPr>
              <w:t>significant increase, p = .001</w:t>
            </w:r>
          </w:p>
        </w:tc>
      </w:tr>
    </w:tbl>
    <w:p w14:paraId="52E3D962" w14:textId="77777777" w:rsidR="00762E5F" w:rsidRDefault="00762E5F" w:rsidP="00B34B59">
      <w:pPr>
        <w:spacing w:after="0" w:line="360" w:lineRule="auto"/>
      </w:pPr>
    </w:p>
    <w:p w14:paraId="0A1764D0" w14:textId="77777777" w:rsidR="00762E5F" w:rsidRPr="0030402D" w:rsidRDefault="00000000" w:rsidP="00B34B59">
      <w:pPr>
        <w:pStyle w:val="Heading3"/>
        <w:spacing w:after="0" w:line="360" w:lineRule="auto"/>
        <w:rPr>
          <w:color w:val="000000" w:themeColor="text1"/>
        </w:rPr>
      </w:pPr>
      <w:r w:rsidRPr="0030402D">
        <w:rPr>
          <w:rFonts w:ascii="Times New Roman" w:eastAsia="Times New Roman" w:hAnsi="Times New Roman"/>
          <w:color w:val="000000" w:themeColor="text1"/>
        </w:rPr>
        <w:t>3.2.4. Discussion and conclusions</w:t>
      </w:r>
    </w:p>
    <w:p w14:paraId="3E833BBB" w14:textId="77777777" w:rsidR="00762E5F" w:rsidRDefault="00280A80" w:rsidP="00B34B59">
      <w:pPr>
        <w:spacing w:after="0" w:line="360" w:lineRule="auto"/>
        <w:jc w:val="both"/>
      </w:pPr>
      <w:r>
        <w:tab/>
        <w:t xml:space="preserve">Study 2 showed that the </w:t>
      </w:r>
      <w:r>
        <w:rPr>
          <w:i/>
        </w:rPr>
        <w:t xml:space="preserve">Future Psychotherapists </w:t>
      </w:r>
      <w:r>
        <w:t>app is feasible and usable for a sample of trainee psychotherapists</w:t>
      </w:r>
      <w:r w:rsidR="0030402D">
        <w:t xml:space="preserve">. </w:t>
      </w:r>
      <w:r>
        <w:t xml:space="preserve">The absence of significant increases </w:t>
      </w:r>
      <w:r w:rsidR="0030402D">
        <w:t xml:space="preserve">in simulator sickness </w:t>
      </w:r>
      <w:r>
        <w:t>is important for practical implementation, as VR-induced discomfort can reduce users’ attention, performance and willingness to complete the task. In this study, symptoms remained at a level that does not appear to have substantially interfered with engagement in the training.</w:t>
      </w:r>
    </w:p>
    <w:p w14:paraId="4B97494D" w14:textId="77777777" w:rsidR="00762E5F" w:rsidRDefault="00000000" w:rsidP="00B34B59">
      <w:pPr>
        <w:spacing w:after="0" w:line="360" w:lineRule="auto"/>
        <w:jc w:val="both"/>
      </w:pPr>
      <w:r>
        <w:t xml:space="preserve">The high usability score indicates that participants perceived the interface as intuitive and easy to use, in line with the interpretation criteria of </w:t>
      </w:r>
      <w:r>
        <w:rPr>
          <w:i/>
        </w:rPr>
        <w:t xml:space="preserve">the System Usability Scale </w:t>
      </w:r>
      <w:r>
        <w:t>(Brooke, 1996). The low to moderate level of cognitive load suggests that the application’s minimalist design was suitable for maintaining focus on selecting therapeutic responses, rather than on secondary visual elements; this is consistent with the idea that an appropriate level of cognitive load supports learning (Kirschner, 2002).</w:t>
      </w:r>
    </w:p>
    <w:p w14:paraId="05E3FD0C" w14:textId="77777777" w:rsidR="00762E5F" w:rsidRDefault="00111AE0" w:rsidP="00B34B59">
      <w:pPr>
        <w:spacing w:after="0" w:line="360" w:lineRule="auto"/>
        <w:jc w:val="both"/>
      </w:pPr>
      <w:r>
        <w:tab/>
        <w:t>The experts’ evaluation supported the clinical and pedagogical relevance of the content. The fact that the experts rated both the empathy and therapeutic alliance components favourably indicates that the scenario and the responses included were considered appropriate for the training of future psychotherapists. This stage was important because, as novices, students cannot establish a professional standard for correct responses on their own.</w:t>
      </w:r>
    </w:p>
    <w:p w14:paraId="166F6252" w14:textId="77777777" w:rsidR="00762E5F" w:rsidRDefault="00111AE0" w:rsidP="00B34B59">
      <w:pPr>
        <w:spacing w:after="0" w:line="360" w:lineRule="auto"/>
        <w:jc w:val="both"/>
      </w:pPr>
      <w:r>
        <w:tab/>
        <w:t xml:space="preserve">The exploratory increases in empathy </w:t>
      </w:r>
      <w:r w:rsidR="0030402D">
        <w:t xml:space="preserve">as </w:t>
      </w:r>
      <w:r>
        <w:t>a state should be interpreted with caution</w:t>
      </w:r>
      <w:r w:rsidR="0030402D">
        <w:t>, as a single-group design was used</w:t>
      </w:r>
      <w:r>
        <w:t>. However, they provide an initial indication that the app may activate relevant empathic processes. Overall, Study 2 justified moving on to the next stage of the research programme: the controlled testing of the application’s efficacy and the inclusion of a standardised measure of presence.</w:t>
      </w:r>
    </w:p>
    <w:p w14:paraId="4A1B96AA" w14:textId="77777777" w:rsidR="00762E5F" w:rsidRDefault="00000000" w:rsidP="00B34B59">
      <w:pPr>
        <w:spacing w:after="0" w:line="360" w:lineRule="auto"/>
      </w:pPr>
      <w:r>
        <w:br w:type="page"/>
      </w:r>
    </w:p>
    <w:p w14:paraId="1F6FDE69" w14:textId="77777777" w:rsidR="00762E5F" w:rsidRPr="0030402D" w:rsidRDefault="00000000" w:rsidP="00B34B59">
      <w:pPr>
        <w:pStyle w:val="Heading2"/>
        <w:spacing w:after="0" w:line="360" w:lineRule="auto"/>
        <w:jc w:val="both"/>
        <w:rPr>
          <w:color w:val="000000" w:themeColor="text1"/>
        </w:rPr>
      </w:pPr>
      <w:r w:rsidRPr="0030402D">
        <w:rPr>
          <w:rFonts w:ascii="Times New Roman" w:eastAsia="Times New Roman" w:hAnsi="Times New Roman"/>
          <w:color w:val="000000" w:themeColor="text1"/>
        </w:rPr>
        <w:lastRenderedPageBreak/>
        <w:t xml:space="preserve">3.3. Study 3. Translation and validation of the Romanian version of </w:t>
      </w:r>
      <w:r>
        <w:rPr>
          <w:rFonts w:ascii="Times New Roman" w:eastAsia="Times New Roman" w:hAnsi="Times New Roman"/>
          <w:i/>
          <w:color w:val="000000" w:themeColor="text1"/>
        </w:rPr>
        <w:t xml:space="preserve">the ITC-Sense of Presence Inventory </w:t>
      </w:r>
      <w:r>
        <w:rPr>
          <w:rFonts w:ascii="Times New Roman" w:eastAsia="Times New Roman" w:hAnsi="Times New Roman"/>
          <w:color w:val="000000" w:themeColor="text1"/>
        </w:rPr>
        <w:t>(</w:t>
      </w:r>
      <w:r>
        <w:rPr>
          <w:rFonts w:ascii="Times New Roman" w:eastAsia="Times New Roman" w:hAnsi="Times New Roman"/>
          <w:i/>
          <w:color w:val="000000" w:themeColor="text1"/>
        </w:rPr>
        <w:t>ITC-SOPI</w:t>
      </w:r>
      <w:r>
        <w:rPr>
          <w:rFonts w:ascii="Times New Roman" w:eastAsia="Times New Roman" w:hAnsi="Times New Roman"/>
          <w:color w:val="000000" w:themeColor="text1"/>
        </w:rPr>
        <w:t xml:space="preserve">) </w:t>
      </w:r>
      <w:r w:rsidRPr="0030402D">
        <w:rPr>
          <w:rFonts w:ascii="Times New Roman" w:eastAsia="Times New Roman" w:hAnsi="Times New Roman"/>
          <w:color w:val="000000" w:themeColor="text1"/>
        </w:rPr>
        <w:t>for assessing presence in virtual reality</w:t>
      </w:r>
      <w:r w:rsidR="0030402D">
        <w:rPr>
          <w:rStyle w:val="FootnoteReference"/>
          <w:rFonts w:ascii="Times New Roman" w:eastAsia="Times New Roman" w:hAnsi="Times New Roman"/>
          <w:color w:val="000000" w:themeColor="text1"/>
        </w:rPr>
        <w:footnoteReference w:id="2"/>
      </w:r>
    </w:p>
    <w:p w14:paraId="21B43624" w14:textId="77777777" w:rsidR="00762E5F" w:rsidRPr="0030402D" w:rsidRDefault="00000000" w:rsidP="00B34B59">
      <w:pPr>
        <w:pStyle w:val="Heading3"/>
        <w:spacing w:after="0" w:line="360" w:lineRule="auto"/>
        <w:rPr>
          <w:color w:val="000000" w:themeColor="text1"/>
        </w:rPr>
      </w:pPr>
      <w:r w:rsidRPr="0030402D">
        <w:rPr>
          <w:rFonts w:ascii="Times New Roman" w:eastAsia="Times New Roman" w:hAnsi="Times New Roman"/>
          <w:color w:val="000000" w:themeColor="text1"/>
        </w:rPr>
        <w:t>3.3.1. Introduction</w:t>
      </w:r>
    </w:p>
    <w:p w14:paraId="198DCE4F" w14:textId="77777777" w:rsidR="00762E5F" w:rsidRDefault="00000000" w:rsidP="00B34B59">
      <w:pPr>
        <w:spacing w:after="0" w:line="360" w:lineRule="auto"/>
        <w:jc w:val="both"/>
      </w:pPr>
      <w:r>
        <w:t>Study 3 played a key methodological role within the thesis</w:t>
      </w:r>
      <w:r w:rsidR="0030402D">
        <w:t xml:space="preserve">, namely </w:t>
      </w:r>
      <w:r>
        <w:t>the adaptation into Romanian of a tool for assessing presence in virtual reality. As VR technologies are used in an increasing number of fields, it is becoming necessary to assess not only clinical or educational outcomes, but also the user’s subjective experience. Presence is one of the central concepts for understanding how users experience virtual environments (Lessiter et al., 2001).</w:t>
      </w:r>
    </w:p>
    <w:p w14:paraId="70306E42" w14:textId="77777777" w:rsidR="00762E5F" w:rsidRDefault="00157054" w:rsidP="00B34B59">
      <w:pPr>
        <w:spacing w:after="0" w:line="360" w:lineRule="auto"/>
        <w:jc w:val="both"/>
      </w:pPr>
      <w:r>
        <w:tab/>
        <w:t xml:space="preserve">Presence has been defined in the literature as the subjective experience of being situated within a virtual environment, whilst attention shifts from the physical environment to the virtual one (Kisker et al., 2021). Classical models distinguish between presence and immersion: immersion refers to the technical properties of the system, whilst presence refers to the user’s psychological experience (Lee, 2004; Slater &amp; Wilbur, 1997). Descriptive models of presence focus on components of the experience, such as spatial presence, engagement and realism, which supports the view of presence as a multidimensional phenomenon. </w:t>
      </w:r>
    </w:p>
    <w:p w14:paraId="0D02D7B6" w14:textId="77777777" w:rsidR="00762E5F" w:rsidRDefault="00157054" w:rsidP="00B34B59">
      <w:pPr>
        <w:spacing w:after="0" w:line="360" w:lineRule="auto"/>
        <w:jc w:val="both"/>
      </w:pPr>
      <w:r>
        <w:tab/>
        <w:t>The relationship between presence and the outcomes of VR interventions is complex. In virtual reality exposure therapy, presence has been associated with emotional arousal, but not consistently with treatment outcomes (Ling et al., 2014; Price &amp; Anderson, 2007). In educational contexts, some studies have indicated beneficial roles for presence, whilst others have shown that greater presence may be accompanied by higher cognitive load</w:t>
      </w:r>
      <w:r w:rsidR="00711C62">
        <w:t xml:space="preserve">, resulting </w:t>
      </w:r>
      <w:r>
        <w:t>in poorer learning outcomes (Makransky et al., 2019; Yang et al., 2023). This ambiguity justifies the systematic measurement of presence, without assuming that it automatically represents the primary mechanism of change.</w:t>
      </w:r>
    </w:p>
    <w:p w14:paraId="411A0CCD" w14:textId="77777777" w:rsidR="00762E5F" w:rsidRDefault="00157054" w:rsidP="00B34B59">
      <w:pPr>
        <w:spacing w:after="0" w:line="360" w:lineRule="auto"/>
        <w:jc w:val="both"/>
      </w:pPr>
      <w:r>
        <w:rPr>
          <w:i/>
        </w:rPr>
        <w:tab/>
        <w:t xml:space="preserve">The ITC-SOPI </w:t>
      </w:r>
      <w:r>
        <w:t xml:space="preserve">(Lessiter et al., 2001) is a relevant instrument, as it was designed to measure presence in different media contexts and includes four dimensions: </w:t>
      </w:r>
      <w:r w:rsidRPr="00157054">
        <w:rPr>
          <w:i/>
          <w:iCs/>
        </w:rPr>
        <w:t xml:space="preserve">Sense of Physical Space, Engagement, Ecological Validity/Naturalness and Negative Effects </w:t>
      </w:r>
      <w:r>
        <w:t xml:space="preserve">(Lessiter et al., 2001). No standardised and psychometrically validated version of this instrument was available in Romania, </w:t>
      </w:r>
      <w:r>
        <w:lastRenderedPageBreak/>
        <w:t>which limited the comparability of VR studies conducted on Romanian samples. The aim of Study 3 was to translate, culturally adapt and assess the psychometric properties of the Romanian version.</w:t>
      </w:r>
    </w:p>
    <w:p w14:paraId="1F69EA58" w14:textId="77777777" w:rsidR="00762E5F" w:rsidRPr="00711C62" w:rsidRDefault="00000000" w:rsidP="00B34B59">
      <w:pPr>
        <w:pStyle w:val="Heading3"/>
        <w:spacing w:after="0" w:line="360" w:lineRule="auto"/>
        <w:rPr>
          <w:color w:val="000000" w:themeColor="text1"/>
        </w:rPr>
      </w:pPr>
      <w:r w:rsidRPr="00711C62">
        <w:rPr>
          <w:rFonts w:ascii="Times New Roman" w:eastAsia="Times New Roman" w:hAnsi="Times New Roman"/>
          <w:color w:val="000000" w:themeColor="text1"/>
        </w:rPr>
        <w:t>3.3.2. Methods</w:t>
      </w:r>
    </w:p>
    <w:p w14:paraId="3D4FEB97" w14:textId="77777777" w:rsidR="00762E5F" w:rsidRDefault="00157054" w:rsidP="00B34B59">
      <w:pPr>
        <w:spacing w:after="0" w:line="360" w:lineRule="auto"/>
        <w:jc w:val="both"/>
      </w:pPr>
      <w:r>
        <w:tab/>
        <w:t>The sample comprised 241 Romanian-speaking participants, recruited from the Faculty of Psychology and Educational Sciences in Cluj-Napoca. Of these, 223 were women (92.53 per cent) and 18 were men (7.47 per cent). All participants were exposed to a VR scenario before completing the questionnaires. With regard to previous experience with VR, 39.49% reported having previously used VR in an experimental context, and the level of VR knowledge was assessed by most as non-existent or basic. The participants’ ages were not recorded, which represents a limitation of the study.</w:t>
      </w:r>
    </w:p>
    <w:p w14:paraId="3E0DCD7B" w14:textId="77777777" w:rsidR="00762E5F" w:rsidRDefault="00157054" w:rsidP="00B34B59">
      <w:pPr>
        <w:spacing w:after="0" w:line="360" w:lineRule="auto"/>
        <w:jc w:val="both"/>
      </w:pPr>
      <w:r>
        <w:tab/>
        <w:t xml:space="preserve">The instrument was adapted using a back-translation procedure. Two bilingual psychologists, native speakers of Romanian, independently translated the items from English into Romanian. The translations were compared and reconciled into a preliminary version, with an emphasis on conceptual equivalence rather than literal translation. Subsequently, a third bilingual translator carried out the back-translation into English, without access to the original instrument and without knowledge of the study’s objectives. The </w:t>
      </w:r>
      <w:r w:rsidR="00711C62">
        <w:t>back-translated</w:t>
      </w:r>
      <w:r>
        <w:t xml:space="preserve"> version was compared with the original, and discrepancies were discussed until consensus was reached.</w:t>
      </w:r>
    </w:p>
    <w:p w14:paraId="3290C86B" w14:textId="77777777" w:rsidR="00762E5F" w:rsidRDefault="00157054" w:rsidP="00B34B59">
      <w:pPr>
        <w:spacing w:after="0" w:line="360" w:lineRule="auto"/>
        <w:jc w:val="both"/>
      </w:pPr>
      <w:r>
        <w:tab/>
        <w:t xml:space="preserve">Participants undertook a VR experience using the Nature Treks VR app, in the </w:t>
      </w:r>
      <w:r w:rsidRPr="00157054">
        <w:rPr>
          <w:i/>
          <w:iCs/>
        </w:rPr>
        <w:t xml:space="preserve">White Winter </w:t>
      </w:r>
      <w:r>
        <w:t xml:space="preserve">environment, using Meta Quest 2 headsets. Following the VR exposure, they completed the instruments included in the analysis: </w:t>
      </w:r>
      <w:r>
        <w:rPr>
          <w:i/>
        </w:rPr>
        <w:t xml:space="preserve">the ITC-SOPI </w:t>
      </w:r>
      <w:r>
        <w:t xml:space="preserve">(Lessiter et al., 2001), </w:t>
      </w:r>
      <w:r>
        <w:rPr>
          <w:i/>
        </w:rPr>
        <w:t xml:space="preserve">the Igroup Presence Questionnaire </w:t>
      </w:r>
      <w:r>
        <w:t xml:space="preserve">(Schubert et al., 2001) and </w:t>
      </w:r>
      <w:r>
        <w:rPr>
          <w:i/>
        </w:rPr>
        <w:t xml:space="preserve">the Simulator Sickness Questionnaire </w:t>
      </w:r>
      <w:r>
        <w:t>(Kennedy et al., 1993). The procedure took place in a single session lasting approximately 30 minutes.</w:t>
      </w:r>
    </w:p>
    <w:p w14:paraId="77657773" w14:textId="77777777" w:rsidR="00762E5F" w:rsidRDefault="00157054" w:rsidP="00B34B59">
      <w:pPr>
        <w:spacing w:after="0" w:line="360" w:lineRule="auto"/>
        <w:jc w:val="both"/>
      </w:pPr>
      <w:r>
        <w:tab/>
        <w:t xml:space="preserve">The analyses included a confirmatory factor analysis of the original four-factor structure of </w:t>
      </w:r>
      <w:r>
        <w:rPr>
          <w:i/>
        </w:rPr>
        <w:t xml:space="preserve">the ITC-SOPI </w:t>
      </w:r>
      <w:r>
        <w:t xml:space="preserve">(Lessiter et al., 2001). The model was initially estimated using </w:t>
      </w:r>
      <w:r w:rsidRPr="00157054">
        <w:rPr>
          <w:i/>
          <w:iCs/>
        </w:rPr>
        <w:t>Maximum Likelihood</w:t>
      </w:r>
      <w:r>
        <w:t xml:space="preserve">, followed by a sensitivity analysis using WLSMV for ordinal items. The interpretation of the confirmatory factor analyses followed the methodological recommendations for CFA (Brown, 2015). The internal consistencies of the subscales were calculated using Cronbach’s alpha, and convergent validity was assessed using </w:t>
      </w:r>
      <w:r w:rsidRPr="00157054">
        <w:rPr>
          <w:i/>
          <w:iCs/>
        </w:rPr>
        <w:t>Pearson</w:t>
      </w:r>
      <w:r>
        <w:t xml:space="preserve"> correlations between the </w:t>
      </w:r>
      <w:r>
        <w:rPr>
          <w:i/>
        </w:rPr>
        <w:t>ITC-SOPI</w:t>
      </w:r>
      <w:r>
        <w:t xml:space="preserve"> subscales and the </w:t>
      </w:r>
      <w:r>
        <w:rPr>
          <w:i/>
        </w:rPr>
        <w:t>IPQ</w:t>
      </w:r>
      <w:r>
        <w:t xml:space="preserve"> dimensions, as well as between the </w:t>
      </w:r>
      <w:r w:rsidRPr="00157054">
        <w:rPr>
          <w:i/>
          <w:iCs/>
        </w:rPr>
        <w:t xml:space="preserve">Negative Effects </w:t>
      </w:r>
      <w:r>
        <w:t xml:space="preserve">subscale and the </w:t>
      </w:r>
      <w:r>
        <w:rPr>
          <w:i/>
        </w:rPr>
        <w:t>SSQ</w:t>
      </w:r>
      <w:r>
        <w:t xml:space="preserve"> scores.</w:t>
      </w:r>
    </w:p>
    <w:p w14:paraId="0AA47B08" w14:textId="77777777" w:rsidR="00762E5F" w:rsidRPr="00711C62" w:rsidRDefault="00000000" w:rsidP="00B34B59">
      <w:pPr>
        <w:pStyle w:val="Heading3"/>
        <w:spacing w:after="0" w:line="360" w:lineRule="auto"/>
        <w:rPr>
          <w:color w:val="000000" w:themeColor="text1"/>
        </w:rPr>
      </w:pPr>
      <w:r w:rsidRPr="00711C62">
        <w:rPr>
          <w:rFonts w:ascii="Times New Roman" w:eastAsia="Times New Roman" w:hAnsi="Times New Roman"/>
          <w:color w:val="000000" w:themeColor="text1"/>
        </w:rPr>
        <w:lastRenderedPageBreak/>
        <w:t>3.3.3. Results</w:t>
      </w:r>
    </w:p>
    <w:p w14:paraId="631085F2" w14:textId="77777777" w:rsidR="00762E5F" w:rsidRDefault="00157054" w:rsidP="00B34B59">
      <w:pPr>
        <w:spacing w:after="0" w:line="360" w:lineRule="auto"/>
        <w:jc w:val="both"/>
      </w:pPr>
      <w:r>
        <w:tab/>
        <w:t xml:space="preserve">Confirmatory factor analysis of the initial 43-item model indicated a modest fit when the items were treated as continuous variables: chi-square(854) = 1858.23, p &lt; .001, CFI = .762, TLI = .749, RMSEA = .070, SRMR = .080. These results were interpreted in light of the complexity of the instrument and the fact that a number of items exhibited skewed distributions </w:t>
      </w:r>
      <w:r w:rsidR="00D36412">
        <w:t>(Table 4)</w:t>
      </w:r>
      <w:r>
        <w:t>.</w:t>
      </w:r>
    </w:p>
    <w:p w14:paraId="0BEF7CEB" w14:textId="77777777" w:rsidR="00762E5F" w:rsidRDefault="00D36412" w:rsidP="00B34B59">
      <w:pPr>
        <w:spacing w:after="0" w:line="360" w:lineRule="auto"/>
        <w:jc w:val="both"/>
      </w:pPr>
      <w:r>
        <w:tab/>
        <w:t>The sensitivity analysis using the WLSMV estimator, which treats Likert items as ordinal, indicated an improved overall fit: chi-squared(854) = 1536.54, p &lt; .001, CFI = .906, TLI = .900, RMSEA = .058, SRMR = .097. This result provided further support for the four-factor structure of the instrument. A post-hoc exploratory analysis, involving the removal of items with standardised loadings below .40, yielded only marginal improvements and did not alter the structural interpretation. Consequently, the full 43-item version was retained to preserve content validity and comparability with the original instrument.</w:t>
      </w:r>
    </w:p>
    <w:p w14:paraId="7D97FB57" w14:textId="77777777" w:rsidR="00762E5F" w:rsidRDefault="00D36412" w:rsidP="00B34B59">
      <w:pPr>
        <w:spacing w:after="0" w:line="360" w:lineRule="auto"/>
        <w:jc w:val="both"/>
      </w:pPr>
      <w:r>
        <w:tab/>
        <w:t xml:space="preserve">The internal consistency of the subscales was good, even excellent (Table 5). These values indicate that the Romanian version of </w:t>
      </w:r>
      <w:r>
        <w:rPr>
          <w:i/>
        </w:rPr>
        <w:t xml:space="preserve">the ITC-SOPI </w:t>
      </w:r>
      <w:r>
        <w:t>produces reliable scores for the dimensions assessed.</w:t>
      </w:r>
    </w:p>
    <w:p w14:paraId="4A922CBE" w14:textId="77777777" w:rsidR="00762E5F" w:rsidRDefault="00D36412" w:rsidP="00B34B59">
      <w:pPr>
        <w:spacing w:after="0" w:line="360" w:lineRule="auto"/>
        <w:jc w:val="both"/>
      </w:pPr>
      <w:r>
        <w:tab/>
        <w:t xml:space="preserve">Convergent validity was supported by the positive correlations between the three presence subscales of </w:t>
      </w:r>
      <w:r>
        <w:rPr>
          <w:i/>
        </w:rPr>
        <w:t xml:space="preserve">the ITC-SOPI </w:t>
      </w:r>
      <w:r>
        <w:t xml:space="preserve">and the </w:t>
      </w:r>
      <w:r>
        <w:rPr>
          <w:i/>
        </w:rPr>
        <w:t>IPQ</w:t>
      </w:r>
      <w:r>
        <w:t xml:space="preserve"> dimensions. The strongest associations were observed between </w:t>
      </w:r>
      <w:r w:rsidRPr="00D36412">
        <w:rPr>
          <w:i/>
          <w:iCs/>
        </w:rPr>
        <w:t xml:space="preserve">‘Sense of Physical Space’ and ‘Spatial Presence’ </w:t>
      </w:r>
      <w:r>
        <w:t xml:space="preserve">(r = .641, p &lt; .001) and between </w:t>
      </w:r>
      <w:r w:rsidRPr="00D36412">
        <w:rPr>
          <w:i/>
          <w:iCs/>
        </w:rPr>
        <w:t xml:space="preserve">‘Engagement’ and ‘General Presence’ </w:t>
      </w:r>
      <w:r>
        <w:t xml:space="preserve">(r = .543, p &lt; .001). The Negative Effects subscale showed weak and largely non-significant correlations with the </w:t>
      </w:r>
      <w:r>
        <w:rPr>
          <w:i/>
        </w:rPr>
        <w:t>IPQ</w:t>
      </w:r>
      <w:r>
        <w:t xml:space="preserve"> dimensions, which supports its conceptual distinctiveness from presence itself.</w:t>
      </w:r>
    </w:p>
    <w:p w14:paraId="64CB63D7" w14:textId="77777777" w:rsidR="00762E5F" w:rsidRDefault="00D36412" w:rsidP="00B34B59">
      <w:pPr>
        <w:spacing w:after="0" w:line="360" w:lineRule="auto"/>
        <w:jc w:val="both"/>
      </w:pPr>
      <w:r>
        <w:tab/>
        <w:t xml:space="preserve">At the same time, the </w:t>
      </w:r>
      <w:r w:rsidRPr="00D36412">
        <w:rPr>
          <w:i/>
          <w:iCs/>
        </w:rPr>
        <w:t xml:space="preserve">Negative Effects </w:t>
      </w:r>
      <w:r>
        <w:t xml:space="preserve">subscale correlated positively with all </w:t>
      </w:r>
      <w:r>
        <w:rPr>
          <w:i/>
        </w:rPr>
        <w:t>SSQ</w:t>
      </w:r>
      <w:r>
        <w:t xml:space="preserve"> dimensions, including the total </w:t>
      </w:r>
      <w:r>
        <w:rPr>
          <w:i/>
        </w:rPr>
        <w:t>SSQ</w:t>
      </w:r>
      <w:r>
        <w:t xml:space="preserve"> score, r = .689, p &lt; .001. Multiple regression analysis indicated that the model including the four </w:t>
      </w:r>
      <w:r>
        <w:rPr>
          <w:i/>
        </w:rPr>
        <w:t>ITC-SOPI</w:t>
      </w:r>
      <w:r>
        <w:t xml:space="preserve"> subscales explained 50% of the variance in the total simulator sickness score, with </w:t>
      </w:r>
      <w:r w:rsidRPr="00D36412">
        <w:rPr>
          <w:i/>
          <w:iCs/>
        </w:rPr>
        <w:t xml:space="preserve">the Negative Effects subscale </w:t>
      </w:r>
      <w:r>
        <w:t>being the dominant predictor, beta = .711, p &lt; .001 (Table 4). This result confirms the role of this subscale as an indicator of discomfort associated with VR exposure.</w:t>
      </w:r>
    </w:p>
    <w:p w14:paraId="69C221BE" w14:textId="77777777" w:rsidR="00D36412" w:rsidRDefault="00D36412" w:rsidP="00B34B59">
      <w:pPr>
        <w:spacing w:after="0" w:line="360" w:lineRule="auto"/>
        <w:jc w:val="both"/>
      </w:pPr>
    </w:p>
    <w:p w14:paraId="579572C7" w14:textId="77777777" w:rsidR="00D36412" w:rsidRDefault="00D36412" w:rsidP="00B34B59">
      <w:pPr>
        <w:spacing w:after="0" w:line="360" w:lineRule="auto"/>
        <w:jc w:val="both"/>
      </w:pPr>
    </w:p>
    <w:p w14:paraId="1B6126B2" w14:textId="77777777" w:rsidR="00D36412" w:rsidRDefault="00D36412" w:rsidP="00B34B59">
      <w:pPr>
        <w:spacing w:after="0" w:line="360" w:lineRule="auto"/>
        <w:jc w:val="both"/>
      </w:pPr>
    </w:p>
    <w:p w14:paraId="79162B70" w14:textId="77777777" w:rsidR="00D36412" w:rsidRDefault="00D36412" w:rsidP="00B34B59">
      <w:pPr>
        <w:spacing w:after="0" w:line="360" w:lineRule="auto"/>
        <w:jc w:val="both"/>
      </w:pPr>
    </w:p>
    <w:p w14:paraId="628D7167" w14:textId="77777777" w:rsidR="00D36412" w:rsidRDefault="00D36412" w:rsidP="00B34B59">
      <w:pPr>
        <w:spacing w:after="0" w:line="360" w:lineRule="auto"/>
        <w:jc w:val="both"/>
      </w:pPr>
    </w:p>
    <w:p w14:paraId="67447739" w14:textId="77777777" w:rsidR="00762E5F" w:rsidRPr="00D36412" w:rsidRDefault="00762E5F" w:rsidP="00B34B59">
      <w:pPr>
        <w:spacing w:after="0" w:line="360" w:lineRule="auto"/>
        <w:rPr>
          <w:i/>
          <w:iCs/>
        </w:rPr>
      </w:pPr>
      <w:r w:rsidRPr="00D36412">
        <w:rPr>
          <w:b/>
          <w:bCs/>
        </w:rPr>
        <w:lastRenderedPageBreak/>
        <w:t>Table</w:t>
      </w:r>
      <w:r w:rsidR="00D36412" w:rsidRPr="00D36412">
        <w:rPr>
          <w:b/>
          <w:bCs/>
        </w:rPr>
        <w:t xml:space="preserve"> 4</w:t>
      </w:r>
      <w:r w:rsidRPr="00D36412">
        <w:rPr>
          <w:b/>
          <w:bCs/>
        </w:rPr>
        <w:t xml:space="preserve">. </w:t>
      </w:r>
      <w:r w:rsidR="00D36412" w:rsidRPr="00D36412">
        <w:rPr>
          <w:i/>
          <w:iCs/>
        </w:rPr>
        <w:t>Results of confirmatory factor analysis and regression analysis for the total SSQ score</w:t>
      </w:r>
    </w:p>
    <w:p w14:paraId="489EBABF" w14:textId="77777777" w:rsidR="00D36412" w:rsidRDefault="00D36412" w:rsidP="00B34B59">
      <w:pPr>
        <w:spacing w:after="0" w:line="360" w:lineRule="auto"/>
      </w:pPr>
    </w:p>
    <w:tbl>
      <w:tblPr>
        <w:tblStyle w:val="TableGrid"/>
        <w:tblW w:w="0" w:type="auto"/>
        <w:jc w:val="center"/>
        <w:tblLook w:val="04A0" w:firstRow="1" w:lastRow="0" w:firstColumn="1" w:lastColumn="0" w:noHBand="0" w:noVBand="1"/>
      </w:tblPr>
      <w:tblGrid>
        <w:gridCol w:w="3119"/>
        <w:gridCol w:w="3123"/>
        <w:gridCol w:w="3154"/>
      </w:tblGrid>
      <w:tr w:rsidR="00762E5F" w14:paraId="799746F0" w14:textId="77777777">
        <w:trPr>
          <w:cantSplit/>
          <w:jc w:val="center"/>
        </w:trPr>
        <w:tc>
          <w:tcPr>
            <w:tcW w:w="3312" w:type="dxa"/>
            <w:vAlign w:val="center"/>
          </w:tcPr>
          <w:p w14:paraId="0C6F0097" w14:textId="77777777" w:rsidR="00762E5F" w:rsidRDefault="00000000" w:rsidP="00B34B59">
            <w:pPr>
              <w:spacing w:after="0" w:line="360" w:lineRule="auto"/>
              <w:jc w:val="center"/>
            </w:pPr>
            <w:r>
              <w:rPr>
                <w:b/>
                <w:sz w:val="20"/>
              </w:rPr>
              <w:t>Model / analysis</w:t>
            </w:r>
          </w:p>
        </w:tc>
        <w:tc>
          <w:tcPr>
            <w:tcW w:w="3312" w:type="dxa"/>
            <w:vAlign w:val="center"/>
          </w:tcPr>
          <w:p w14:paraId="1976541C" w14:textId="77777777" w:rsidR="00762E5F" w:rsidRDefault="00000000" w:rsidP="00B34B59">
            <w:pPr>
              <w:spacing w:after="0" w:line="360" w:lineRule="auto"/>
              <w:jc w:val="center"/>
            </w:pPr>
            <w:r>
              <w:rPr>
                <w:b/>
                <w:sz w:val="20"/>
              </w:rPr>
              <w:t>Main indicators</w:t>
            </w:r>
          </w:p>
        </w:tc>
        <w:tc>
          <w:tcPr>
            <w:tcW w:w="3312" w:type="dxa"/>
            <w:vAlign w:val="center"/>
          </w:tcPr>
          <w:p w14:paraId="6B8572F0" w14:textId="77777777" w:rsidR="00762E5F" w:rsidRDefault="00000000" w:rsidP="00B34B59">
            <w:pPr>
              <w:spacing w:after="0" w:line="360" w:lineRule="auto"/>
              <w:jc w:val="center"/>
            </w:pPr>
            <w:r>
              <w:rPr>
                <w:b/>
                <w:sz w:val="20"/>
              </w:rPr>
              <w:t>Interpretation</w:t>
            </w:r>
          </w:p>
        </w:tc>
      </w:tr>
      <w:tr w:rsidR="00762E5F" w14:paraId="5CB01E61" w14:textId="77777777">
        <w:trPr>
          <w:cantSplit/>
          <w:jc w:val="center"/>
        </w:trPr>
        <w:tc>
          <w:tcPr>
            <w:tcW w:w="3312" w:type="dxa"/>
            <w:vAlign w:val="center"/>
          </w:tcPr>
          <w:p w14:paraId="3B8958CD" w14:textId="77777777" w:rsidR="00762E5F" w:rsidRDefault="00000000" w:rsidP="00B34B59">
            <w:pPr>
              <w:spacing w:after="0" w:line="360" w:lineRule="auto"/>
            </w:pPr>
            <w:r>
              <w:rPr>
                <w:sz w:val="20"/>
              </w:rPr>
              <w:t>CFA ML, 43 items</w:t>
            </w:r>
          </w:p>
        </w:tc>
        <w:tc>
          <w:tcPr>
            <w:tcW w:w="3312" w:type="dxa"/>
            <w:vAlign w:val="center"/>
          </w:tcPr>
          <w:p w14:paraId="1F2094CE" w14:textId="77777777" w:rsidR="00762E5F" w:rsidRDefault="00000000" w:rsidP="00B34B59">
            <w:pPr>
              <w:spacing w:after="0" w:line="360" w:lineRule="auto"/>
              <w:jc w:val="center"/>
            </w:pPr>
            <w:r>
              <w:rPr>
                <w:sz w:val="20"/>
              </w:rPr>
              <w:t>CFI = .762; TLI = .749; RMSEA = .070; SRMR = .080</w:t>
            </w:r>
          </w:p>
        </w:tc>
        <w:tc>
          <w:tcPr>
            <w:tcW w:w="3312" w:type="dxa"/>
            <w:vAlign w:val="center"/>
          </w:tcPr>
          <w:p w14:paraId="3FF95EA1" w14:textId="77777777" w:rsidR="00762E5F" w:rsidRDefault="00000000" w:rsidP="00B34B59">
            <w:pPr>
              <w:spacing w:after="0" w:line="360" w:lineRule="auto"/>
              <w:jc w:val="center"/>
            </w:pPr>
            <w:r>
              <w:rPr>
                <w:sz w:val="20"/>
              </w:rPr>
              <w:t>modest fit, but interpretable given the complexity</w:t>
            </w:r>
          </w:p>
        </w:tc>
      </w:tr>
      <w:tr w:rsidR="00762E5F" w14:paraId="114D7F8E" w14:textId="77777777">
        <w:trPr>
          <w:cantSplit/>
          <w:jc w:val="center"/>
        </w:trPr>
        <w:tc>
          <w:tcPr>
            <w:tcW w:w="3312" w:type="dxa"/>
            <w:vAlign w:val="center"/>
          </w:tcPr>
          <w:p w14:paraId="6B8A4B8C" w14:textId="77777777" w:rsidR="00762E5F" w:rsidRDefault="00000000" w:rsidP="00B34B59">
            <w:pPr>
              <w:spacing w:after="0" w:line="360" w:lineRule="auto"/>
            </w:pPr>
            <w:r>
              <w:rPr>
                <w:sz w:val="20"/>
              </w:rPr>
              <w:t>CFA WLSMV</w:t>
            </w:r>
          </w:p>
        </w:tc>
        <w:tc>
          <w:tcPr>
            <w:tcW w:w="3312" w:type="dxa"/>
            <w:vAlign w:val="center"/>
          </w:tcPr>
          <w:p w14:paraId="338131AC" w14:textId="77777777" w:rsidR="00762E5F" w:rsidRDefault="00000000" w:rsidP="00B34B59">
            <w:pPr>
              <w:spacing w:after="0" w:line="360" w:lineRule="auto"/>
              <w:jc w:val="center"/>
            </w:pPr>
            <w:r>
              <w:rPr>
                <w:sz w:val="20"/>
              </w:rPr>
              <w:t>CFI = .906; TLI = .900; RMSEA = .058; SRMR = .097</w:t>
            </w:r>
          </w:p>
        </w:tc>
        <w:tc>
          <w:tcPr>
            <w:tcW w:w="3312" w:type="dxa"/>
            <w:vAlign w:val="center"/>
          </w:tcPr>
          <w:p w14:paraId="7E5B580A" w14:textId="77777777" w:rsidR="00762E5F" w:rsidRDefault="00000000" w:rsidP="00B34B59">
            <w:pPr>
              <w:spacing w:after="0" w:line="360" w:lineRule="auto"/>
              <w:jc w:val="center"/>
            </w:pPr>
            <w:r>
              <w:rPr>
                <w:sz w:val="20"/>
              </w:rPr>
              <w:t>better support for the four-factor structure</w:t>
            </w:r>
          </w:p>
        </w:tc>
      </w:tr>
      <w:tr w:rsidR="00762E5F" w14:paraId="12D985D3" w14:textId="77777777">
        <w:trPr>
          <w:cantSplit/>
          <w:jc w:val="center"/>
        </w:trPr>
        <w:tc>
          <w:tcPr>
            <w:tcW w:w="3312" w:type="dxa"/>
            <w:vAlign w:val="center"/>
          </w:tcPr>
          <w:p w14:paraId="6523313E" w14:textId="77777777" w:rsidR="00762E5F" w:rsidRDefault="00000000" w:rsidP="00B34B59">
            <w:pPr>
              <w:spacing w:after="0" w:line="360" w:lineRule="auto"/>
            </w:pPr>
            <w:r>
              <w:rPr>
                <w:sz w:val="20"/>
              </w:rPr>
              <w:t xml:space="preserve">Total </w:t>
            </w:r>
            <w:r>
              <w:rPr>
                <w:i/>
                <w:sz w:val="20"/>
              </w:rPr>
              <w:t>SSQ</w:t>
            </w:r>
            <w:r>
              <w:rPr>
                <w:sz w:val="20"/>
              </w:rPr>
              <w:t xml:space="preserve"> regression</w:t>
            </w:r>
          </w:p>
        </w:tc>
        <w:tc>
          <w:tcPr>
            <w:tcW w:w="3312" w:type="dxa"/>
            <w:vAlign w:val="center"/>
          </w:tcPr>
          <w:p w14:paraId="1224FC61" w14:textId="77777777" w:rsidR="00762E5F" w:rsidRDefault="00000000" w:rsidP="00B34B59">
            <w:pPr>
              <w:spacing w:after="0" w:line="360" w:lineRule="auto"/>
              <w:jc w:val="center"/>
            </w:pPr>
            <w:r>
              <w:rPr>
                <w:sz w:val="20"/>
              </w:rPr>
              <w:t>R² = .50; Negative Effects beta = .711</w:t>
            </w:r>
          </w:p>
        </w:tc>
        <w:tc>
          <w:tcPr>
            <w:tcW w:w="3312" w:type="dxa"/>
            <w:vAlign w:val="center"/>
          </w:tcPr>
          <w:p w14:paraId="2FF2DB73" w14:textId="77777777" w:rsidR="00762E5F" w:rsidRPr="00D36412" w:rsidRDefault="00000000" w:rsidP="00B34B59">
            <w:pPr>
              <w:spacing w:after="0" w:line="360" w:lineRule="auto"/>
              <w:jc w:val="center"/>
              <w:rPr>
                <w:lang w:val="ro-RO"/>
              </w:rPr>
            </w:pPr>
            <w:r>
              <w:rPr>
                <w:sz w:val="20"/>
              </w:rPr>
              <w:t xml:space="preserve">negative effects strongly predict </w:t>
            </w:r>
            <w:r w:rsidR="00D36412">
              <w:rPr>
                <w:sz w:val="20"/>
                <w:lang w:val="ro-RO"/>
              </w:rPr>
              <w:t>simulator sickness</w:t>
            </w:r>
          </w:p>
        </w:tc>
      </w:tr>
    </w:tbl>
    <w:p w14:paraId="3DEFA839" w14:textId="77777777" w:rsidR="00762E5F" w:rsidRDefault="00762E5F" w:rsidP="00B34B59">
      <w:pPr>
        <w:spacing w:after="0" w:line="360" w:lineRule="auto"/>
      </w:pPr>
    </w:p>
    <w:p w14:paraId="2E1571DE" w14:textId="77777777" w:rsidR="00D36412" w:rsidRDefault="00D36412" w:rsidP="00D36412">
      <w:pPr>
        <w:spacing w:after="0" w:line="360" w:lineRule="auto"/>
        <w:jc w:val="both"/>
      </w:pPr>
      <w:r w:rsidRPr="00D36412">
        <w:rPr>
          <w:b/>
          <w:bCs/>
        </w:rPr>
        <w:t xml:space="preserve">Table 5. </w:t>
      </w:r>
      <w:r w:rsidRPr="00D36412">
        <w:rPr>
          <w:i/>
          <w:iCs/>
        </w:rPr>
        <w:t>Internal consistency of the ITC-SOPI subscales</w:t>
      </w:r>
    </w:p>
    <w:p w14:paraId="07BE1F5A" w14:textId="77777777" w:rsidR="00D36412" w:rsidRDefault="00D36412" w:rsidP="00D36412">
      <w:pPr>
        <w:spacing w:after="0" w:line="360" w:lineRule="auto"/>
        <w:jc w:val="both"/>
      </w:pPr>
    </w:p>
    <w:tbl>
      <w:tblPr>
        <w:tblStyle w:val="TableGrid"/>
        <w:tblW w:w="0" w:type="auto"/>
        <w:jc w:val="center"/>
        <w:tblLook w:val="04A0" w:firstRow="1" w:lastRow="0" w:firstColumn="1" w:lastColumn="0" w:noHBand="0" w:noVBand="1"/>
      </w:tblPr>
      <w:tblGrid>
        <w:gridCol w:w="3168"/>
        <w:gridCol w:w="3103"/>
        <w:gridCol w:w="3125"/>
      </w:tblGrid>
      <w:tr w:rsidR="00D36412" w14:paraId="2A6CD11F" w14:textId="77777777" w:rsidTr="00311B99">
        <w:trPr>
          <w:cantSplit/>
          <w:jc w:val="center"/>
        </w:trPr>
        <w:tc>
          <w:tcPr>
            <w:tcW w:w="3312" w:type="dxa"/>
            <w:vAlign w:val="center"/>
          </w:tcPr>
          <w:p w14:paraId="23C58109" w14:textId="77777777" w:rsidR="00D36412" w:rsidRDefault="00D36412" w:rsidP="00311B99">
            <w:pPr>
              <w:spacing w:after="0" w:line="360" w:lineRule="auto"/>
              <w:jc w:val="center"/>
            </w:pPr>
            <w:r>
              <w:rPr>
                <w:b/>
                <w:i/>
                <w:sz w:val="20"/>
              </w:rPr>
              <w:t>ITC-SOPI</w:t>
            </w:r>
            <w:r>
              <w:rPr>
                <w:b/>
                <w:sz w:val="20"/>
              </w:rPr>
              <w:t xml:space="preserve"> subscale</w:t>
            </w:r>
          </w:p>
        </w:tc>
        <w:tc>
          <w:tcPr>
            <w:tcW w:w="3312" w:type="dxa"/>
            <w:vAlign w:val="center"/>
          </w:tcPr>
          <w:p w14:paraId="6AF3F8BB" w14:textId="77777777" w:rsidR="00D36412" w:rsidRDefault="00D36412" w:rsidP="00311B99">
            <w:pPr>
              <w:spacing w:after="0" w:line="360" w:lineRule="auto"/>
              <w:jc w:val="center"/>
            </w:pPr>
            <w:r>
              <w:rPr>
                <w:b/>
                <w:sz w:val="20"/>
              </w:rPr>
              <w:t>Cronbach’s alpha</w:t>
            </w:r>
          </w:p>
        </w:tc>
        <w:tc>
          <w:tcPr>
            <w:tcW w:w="3312" w:type="dxa"/>
            <w:vAlign w:val="center"/>
          </w:tcPr>
          <w:p w14:paraId="2C99FC32" w14:textId="77777777" w:rsidR="00D36412" w:rsidRDefault="00D36412" w:rsidP="00311B99">
            <w:pPr>
              <w:spacing w:after="0" w:line="360" w:lineRule="auto"/>
              <w:jc w:val="center"/>
            </w:pPr>
            <w:r>
              <w:rPr>
                <w:b/>
                <w:sz w:val="20"/>
              </w:rPr>
              <w:t>Interpretation</w:t>
            </w:r>
          </w:p>
        </w:tc>
      </w:tr>
      <w:tr w:rsidR="00D36412" w14:paraId="2542D987" w14:textId="77777777" w:rsidTr="00311B99">
        <w:trPr>
          <w:cantSplit/>
          <w:jc w:val="center"/>
        </w:trPr>
        <w:tc>
          <w:tcPr>
            <w:tcW w:w="3312" w:type="dxa"/>
            <w:vAlign w:val="center"/>
          </w:tcPr>
          <w:p w14:paraId="2B9F6CA0" w14:textId="77777777" w:rsidR="00D36412" w:rsidRDefault="00D36412" w:rsidP="00311B99">
            <w:pPr>
              <w:spacing w:after="0" w:line="360" w:lineRule="auto"/>
            </w:pPr>
            <w:r>
              <w:rPr>
                <w:sz w:val="20"/>
              </w:rPr>
              <w:t>Sense of Physical Space</w:t>
            </w:r>
          </w:p>
        </w:tc>
        <w:tc>
          <w:tcPr>
            <w:tcW w:w="3312" w:type="dxa"/>
            <w:vAlign w:val="center"/>
          </w:tcPr>
          <w:p w14:paraId="1E171237" w14:textId="77777777" w:rsidR="00D36412" w:rsidRDefault="00D36412" w:rsidP="00311B99">
            <w:pPr>
              <w:spacing w:after="0" w:line="360" w:lineRule="auto"/>
              <w:jc w:val="center"/>
            </w:pPr>
            <w:r>
              <w:rPr>
                <w:sz w:val="20"/>
              </w:rPr>
              <w:t>.893</w:t>
            </w:r>
          </w:p>
        </w:tc>
        <w:tc>
          <w:tcPr>
            <w:tcW w:w="3312" w:type="dxa"/>
            <w:vAlign w:val="center"/>
          </w:tcPr>
          <w:p w14:paraId="76228485" w14:textId="77777777" w:rsidR="00D36412" w:rsidRDefault="00D36412" w:rsidP="00311B99">
            <w:pPr>
              <w:spacing w:after="0" w:line="360" w:lineRule="auto"/>
              <w:jc w:val="center"/>
            </w:pPr>
            <w:r>
              <w:rPr>
                <w:sz w:val="20"/>
              </w:rPr>
              <w:t>excellent reliability</w:t>
            </w:r>
          </w:p>
        </w:tc>
      </w:tr>
      <w:tr w:rsidR="00D36412" w14:paraId="681A1C33" w14:textId="77777777" w:rsidTr="00311B99">
        <w:trPr>
          <w:cantSplit/>
          <w:jc w:val="center"/>
        </w:trPr>
        <w:tc>
          <w:tcPr>
            <w:tcW w:w="3312" w:type="dxa"/>
            <w:vAlign w:val="center"/>
          </w:tcPr>
          <w:p w14:paraId="109FE996" w14:textId="77777777" w:rsidR="00D36412" w:rsidRDefault="00D36412" w:rsidP="00311B99">
            <w:pPr>
              <w:spacing w:after="0" w:line="360" w:lineRule="auto"/>
            </w:pPr>
            <w:r>
              <w:rPr>
                <w:sz w:val="20"/>
              </w:rPr>
              <w:t>Engagement</w:t>
            </w:r>
          </w:p>
        </w:tc>
        <w:tc>
          <w:tcPr>
            <w:tcW w:w="3312" w:type="dxa"/>
            <w:vAlign w:val="center"/>
          </w:tcPr>
          <w:p w14:paraId="61D0D54A" w14:textId="77777777" w:rsidR="00D36412" w:rsidRDefault="00D36412" w:rsidP="00311B99">
            <w:pPr>
              <w:spacing w:after="0" w:line="360" w:lineRule="auto"/>
              <w:jc w:val="center"/>
            </w:pPr>
            <w:r>
              <w:rPr>
                <w:sz w:val="20"/>
              </w:rPr>
              <w:t>.805</w:t>
            </w:r>
          </w:p>
        </w:tc>
        <w:tc>
          <w:tcPr>
            <w:tcW w:w="3312" w:type="dxa"/>
            <w:vAlign w:val="center"/>
          </w:tcPr>
          <w:p w14:paraId="239361C2" w14:textId="77777777" w:rsidR="00D36412" w:rsidRDefault="00D36412" w:rsidP="00311B99">
            <w:pPr>
              <w:spacing w:after="0" w:line="360" w:lineRule="auto"/>
              <w:jc w:val="center"/>
            </w:pPr>
            <w:r>
              <w:rPr>
                <w:sz w:val="20"/>
              </w:rPr>
              <w:t>Good reliability</w:t>
            </w:r>
          </w:p>
        </w:tc>
      </w:tr>
      <w:tr w:rsidR="00D36412" w14:paraId="06FC6742" w14:textId="77777777" w:rsidTr="00311B99">
        <w:trPr>
          <w:cantSplit/>
          <w:jc w:val="center"/>
        </w:trPr>
        <w:tc>
          <w:tcPr>
            <w:tcW w:w="3312" w:type="dxa"/>
            <w:vAlign w:val="center"/>
          </w:tcPr>
          <w:p w14:paraId="4CB8D0BB" w14:textId="77777777" w:rsidR="00D36412" w:rsidRDefault="00D36412" w:rsidP="00311B99">
            <w:pPr>
              <w:spacing w:after="0" w:line="360" w:lineRule="auto"/>
            </w:pPr>
            <w:r>
              <w:rPr>
                <w:sz w:val="20"/>
              </w:rPr>
              <w:t>Ecological Validity/Naturalness</w:t>
            </w:r>
          </w:p>
        </w:tc>
        <w:tc>
          <w:tcPr>
            <w:tcW w:w="3312" w:type="dxa"/>
            <w:vAlign w:val="center"/>
          </w:tcPr>
          <w:p w14:paraId="692C679A" w14:textId="77777777" w:rsidR="00D36412" w:rsidRDefault="00D36412" w:rsidP="00311B99">
            <w:pPr>
              <w:spacing w:after="0" w:line="360" w:lineRule="auto"/>
              <w:jc w:val="center"/>
            </w:pPr>
            <w:r>
              <w:rPr>
                <w:sz w:val="20"/>
              </w:rPr>
              <w:t>.765</w:t>
            </w:r>
          </w:p>
        </w:tc>
        <w:tc>
          <w:tcPr>
            <w:tcW w:w="3312" w:type="dxa"/>
            <w:vAlign w:val="center"/>
          </w:tcPr>
          <w:p w14:paraId="678F7EB2" w14:textId="77777777" w:rsidR="00D36412" w:rsidRDefault="00D36412" w:rsidP="00311B99">
            <w:pPr>
              <w:spacing w:after="0" w:line="360" w:lineRule="auto"/>
              <w:jc w:val="center"/>
            </w:pPr>
            <w:r>
              <w:rPr>
                <w:sz w:val="20"/>
              </w:rPr>
              <w:t>acceptable to good reliability</w:t>
            </w:r>
          </w:p>
        </w:tc>
      </w:tr>
      <w:tr w:rsidR="00D36412" w14:paraId="7E0301D1" w14:textId="77777777" w:rsidTr="00311B99">
        <w:trPr>
          <w:cantSplit/>
          <w:jc w:val="center"/>
        </w:trPr>
        <w:tc>
          <w:tcPr>
            <w:tcW w:w="3312" w:type="dxa"/>
            <w:vAlign w:val="center"/>
          </w:tcPr>
          <w:p w14:paraId="1C11F45E" w14:textId="77777777" w:rsidR="00D36412" w:rsidRDefault="00D36412" w:rsidP="00311B99">
            <w:pPr>
              <w:spacing w:after="0" w:line="360" w:lineRule="auto"/>
            </w:pPr>
            <w:r>
              <w:rPr>
                <w:sz w:val="20"/>
              </w:rPr>
              <w:t>Negative Effects</w:t>
            </w:r>
          </w:p>
        </w:tc>
        <w:tc>
          <w:tcPr>
            <w:tcW w:w="3312" w:type="dxa"/>
            <w:vAlign w:val="center"/>
          </w:tcPr>
          <w:p w14:paraId="77D8861F" w14:textId="77777777" w:rsidR="00D36412" w:rsidRDefault="00D36412" w:rsidP="00311B99">
            <w:pPr>
              <w:spacing w:after="0" w:line="360" w:lineRule="auto"/>
              <w:jc w:val="center"/>
            </w:pPr>
            <w:r>
              <w:rPr>
                <w:sz w:val="20"/>
              </w:rPr>
              <w:t>.819</w:t>
            </w:r>
          </w:p>
        </w:tc>
        <w:tc>
          <w:tcPr>
            <w:tcW w:w="3312" w:type="dxa"/>
            <w:vAlign w:val="center"/>
          </w:tcPr>
          <w:p w14:paraId="489E5A82" w14:textId="77777777" w:rsidR="00D36412" w:rsidRDefault="00D36412" w:rsidP="00311B99">
            <w:pPr>
              <w:spacing w:after="0" w:line="360" w:lineRule="auto"/>
              <w:jc w:val="center"/>
            </w:pPr>
            <w:r>
              <w:rPr>
                <w:sz w:val="20"/>
              </w:rPr>
              <w:t>Good reliability</w:t>
            </w:r>
          </w:p>
        </w:tc>
      </w:tr>
    </w:tbl>
    <w:p w14:paraId="5469B1E6" w14:textId="77777777" w:rsidR="00D36412" w:rsidRDefault="00D36412" w:rsidP="00B34B59">
      <w:pPr>
        <w:spacing w:after="0" w:line="360" w:lineRule="auto"/>
      </w:pPr>
    </w:p>
    <w:p w14:paraId="75DAB1DF" w14:textId="77777777" w:rsidR="00762E5F" w:rsidRPr="00477604" w:rsidRDefault="00000000" w:rsidP="00B34B59">
      <w:pPr>
        <w:pStyle w:val="Heading3"/>
        <w:spacing w:after="0" w:line="360" w:lineRule="auto"/>
        <w:rPr>
          <w:color w:val="000000" w:themeColor="text1"/>
        </w:rPr>
      </w:pPr>
      <w:r w:rsidRPr="00477604">
        <w:rPr>
          <w:rFonts w:ascii="Times New Roman" w:eastAsia="Times New Roman" w:hAnsi="Times New Roman"/>
          <w:color w:val="000000" w:themeColor="text1"/>
        </w:rPr>
        <w:t>3.3.4. Discussion and conclusions</w:t>
      </w:r>
    </w:p>
    <w:p w14:paraId="61E6B8BD" w14:textId="77777777" w:rsidR="00762E5F" w:rsidRDefault="00D36412" w:rsidP="00B34B59">
      <w:pPr>
        <w:spacing w:after="0" w:line="360" w:lineRule="auto"/>
        <w:jc w:val="both"/>
      </w:pPr>
      <w:r>
        <w:tab/>
        <w:t xml:space="preserve">Study 3 provided solid preliminary evidence regarding the use of the Romanian version of </w:t>
      </w:r>
      <w:r>
        <w:rPr>
          <w:i/>
        </w:rPr>
        <w:t xml:space="preserve">the ITC-SOPI </w:t>
      </w:r>
      <w:r w:rsidR="00D0484D">
        <w:t xml:space="preserve">(Lessiter et al., 2001) </w:t>
      </w:r>
      <w:r>
        <w:t>in VR research</w:t>
      </w:r>
      <w:r w:rsidR="00602406">
        <w:t xml:space="preserve">. </w:t>
      </w:r>
      <w:r>
        <w:t>Although the overall fit of the model estimated by ML was modest, the WLSMV results, high internal consistency and convergent correlations support the conceptual structure of the instrument. In the case of multidimensional psychological instruments with many items, a perfect fit is rare, and interpretation must take into account both the theory underlying the instrument and indicators of reliability and validity (Brown, 2015).</w:t>
      </w:r>
    </w:p>
    <w:p w14:paraId="6B4A06E5" w14:textId="77777777" w:rsidR="00762E5F" w:rsidRDefault="00D0484D" w:rsidP="00B34B59">
      <w:pPr>
        <w:spacing w:after="0" w:line="360" w:lineRule="auto"/>
        <w:jc w:val="both"/>
      </w:pPr>
      <w:r>
        <w:tab/>
        <w:t>The decision to retain the full 43-item version was justified by the fact that item reduction (&lt; .40) did not substantially improve the model and might have limited comparability with the original version. Retaining the full structure allows the instrument to be used in studies aiming to compare results across different laboratories and media contexts.</w:t>
      </w:r>
    </w:p>
    <w:p w14:paraId="11F77009" w14:textId="77777777" w:rsidR="00762E5F" w:rsidRDefault="00D0484D" w:rsidP="00B34B59">
      <w:pPr>
        <w:spacing w:after="0" w:line="360" w:lineRule="auto"/>
        <w:jc w:val="both"/>
      </w:pPr>
      <w:r>
        <w:tab/>
        <w:t xml:space="preserve">Correlations with </w:t>
      </w:r>
      <w:r>
        <w:rPr>
          <w:i/>
        </w:rPr>
        <w:t xml:space="preserve">the IPQ </w:t>
      </w:r>
      <w:r>
        <w:t xml:space="preserve">confirmed that </w:t>
      </w:r>
      <w:r>
        <w:rPr>
          <w:i/>
        </w:rPr>
        <w:t xml:space="preserve">the ITC-SOPI </w:t>
      </w:r>
      <w:r>
        <w:t xml:space="preserve">captures </w:t>
      </w:r>
      <w:r w:rsidR="00477604">
        <w:t xml:space="preserve">the </w:t>
      </w:r>
      <w:r>
        <w:t xml:space="preserve">core </w:t>
      </w:r>
      <w:r w:rsidR="00477604">
        <w:t xml:space="preserve">dimensions </w:t>
      </w:r>
      <w:r>
        <w:t xml:space="preserve">of presence, particularly the spatial component (Lessiter et al., 2001; Schubert et al., 2001). At the same time, strong correlations between the </w:t>
      </w:r>
      <w:r w:rsidRPr="00D0484D">
        <w:rPr>
          <w:i/>
          <w:iCs/>
        </w:rPr>
        <w:t xml:space="preserve">Negative Effects </w:t>
      </w:r>
      <w:r>
        <w:t xml:space="preserve">subscale and </w:t>
      </w:r>
      <w:r>
        <w:rPr>
          <w:i/>
        </w:rPr>
        <w:t xml:space="preserve">the SSQ </w:t>
      </w:r>
      <w:r>
        <w:t xml:space="preserve">indicated that the instrument can also capture the discomfort dimension of the VR experience (Kennedy et al., </w:t>
      </w:r>
      <w:r>
        <w:lastRenderedPageBreak/>
        <w:t>1993; Lessiter et al., 2001). This dual function is relevant to the development and evaluation of applications, as a VR experience can be immersive yet uncomfortable, and both aspects need to be assessed.</w:t>
      </w:r>
    </w:p>
    <w:p w14:paraId="5C91D206" w14:textId="77777777" w:rsidR="00762E5F" w:rsidRDefault="00D0484D" w:rsidP="00B34B59">
      <w:pPr>
        <w:spacing w:after="0" w:line="360" w:lineRule="auto"/>
        <w:jc w:val="both"/>
      </w:pPr>
      <w:r>
        <w:tab/>
        <w:t>The main limitations of the study are that data were collected at a single point in time, the lack of a test-retest assessment, the absence of a formal pilot phase to assess face validity, the predominance of women in the sample, and the lack of data on age. Future research should test the stability of scores, measurement invariance across gender and age, and the use of the instrument in various VR contexts. Within the thesis, this study provided the necessary instrument for assessing presence in Study 4.</w:t>
      </w:r>
    </w:p>
    <w:p w14:paraId="61331854" w14:textId="77777777" w:rsidR="00762E5F" w:rsidRDefault="00000000" w:rsidP="00B34B59">
      <w:pPr>
        <w:spacing w:after="0" w:line="360" w:lineRule="auto"/>
      </w:pPr>
      <w:r>
        <w:br w:type="page"/>
      </w:r>
    </w:p>
    <w:p w14:paraId="00393ACB" w14:textId="77777777" w:rsidR="00762E5F" w:rsidRPr="00477604" w:rsidRDefault="00000000" w:rsidP="00B34B59">
      <w:pPr>
        <w:pStyle w:val="Heading2"/>
        <w:spacing w:after="0" w:line="360" w:lineRule="auto"/>
        <w:jc w:val="both"/>
        <w:rPr>
          <w:color w:val="000000" w:themeColor="text1"/>
        </w:rPr>
      </w:pPr>
      <w:r w:rsidRPr="00477604">
        <w:rPr>
          <w:rFonts w:ascii="Times New Roman" w:eastAsia="Times New Roman" w:hAnsi="Times New Roman"/>
          <w:color w:val="000000" w:themeColor="text1"/>
        </w:rPr>
        <w:lastRenderedPageBreak/>
        <w:t>3.4. Study 4. Virtual</w:t>
      </w:r>
      <w:r w:rsidR="00D0484D">
        <w:rPr>
          <w:rFonts w:ascii="Times New Roman" w:eastAsia="Times New Roman" w:hAnsi="Times New Roman"/>
          <w:color w:val="000000" w:themeColor="text1"/>
        </w:rPr>
        <w:t xml:space="preserve"> reality-based training </w:t>
      </w:r>
      <w:r w:rsidRPr="00477604">
        <w:rPr>
          <w:rFonts w:ascii="Times New Roman" w:eastAsia="Times New Roman" w:hAnsi="Times New Roman"/>
          <w:color w:val="000000" w:themeColor="text1"/>
        </w:rPr>
        <w:t xml:space="preserve">for the development of </w:t>
      </w:r>
      <w:r w:rsidR="00B56470">
        <w:rPr>
          <w:rFonts w:ascii="Times New Roman" w:eastAsia="Times New Roman" w:hAnsi="Times New Roman"/>
          <w:color w:val="000000" w:themeColor="text1"/>
        </w:rPr>
        <w:t xml:space="preserve">therapeutic </w:t>
      </w:r>
      <w:r w:rsidR="00D0484D">
        <w:rPr>
          <w:rFonts w:ascii="Times New Roman" w:eastAsia="Times New Roman" w:hAnsi="Times New Roman"/>
          <w:color w:val="000000" w:themeColor="text1"/>
        </w:rPr>
        <w:t>relationship</w:t>
      </w:r>
      <w:r w:rsidRPr="00477604">
        <w:rPr>
          <w:rFonts w:ascii="Times New Roman" w:eastAsia="Times New Roman" w:hAnsi="Times New Roman"/>
          <w:color w:val="000000" w:themeColor="text1"/>
        </w:rPr>
        <w:t xml:space="preserve"> skills in trainee psychotherapists: a randomised controlled pilot study</w:t>
      </w:r>
    </w:p>
    <w:p w14:paraId="2E911CEB" w14:textId="77777777" w:rsidR="00762E5F" w:rsidRPr="00477604" w:rsidRDefault="00000000" w:rsidP="00B34B59">
      <w:pPr>
        <w:pStyle w:val="Heading3"/>
        <w:spacing w:after="0" w:line="360" w:lineRule="auto"/>
        <w:rPr>
          <w:color w:val="000000" w:themeColor="text1"/>
        </w:rPr>
      </w:pPr>
      <w:r w:rsidRPr="00477604">
        <w:rPr>
          <w:rFonts w:ascii="Times New Roman" w:eastAsia="Times New Roman" w:hAnsi="Times New Roman"/>
          <w:color w:val="000000" w:themeColor="text1"/>
        </w:rPr>
        <w:t>3.4.1. Introduction</w:t>
      </w:r>
    </w:p>
    <w:p w14:paraId="100F2C6E" w14:textId="77777777" w:rsidR="00762E5F" w:rsidRDefault="00C47ABF" w:rsidP="00B34B59">
      <w:pPr>
        <w:spacing w:after="0" w:line="360" w:lineRule="auto"/>
        <w:jc w:val="both"/>
      </w:pPr>
      <w:r>
        <w:tab/>
        <w:t xml:space="preserve">Study 4 represented the controlled testing phase of the </w:t>
      </w:r>
      <w:r>
        <w:rPr>
          <w:i/>
        </w:rPr>
        <w:t xml:space="preserve">Future Psychotherapists </w:t>
      </w:r>
      <w:r>
        <w:t>application. Following Study 2, which demonstrated that the application was feasible and usable (Cristolțan, 2026a), and Study 3, which provided a Romanian instrument for measuring presence (Cristolțan, 2026b), it was necessary to examine the application’s efficacy in a randomised controlled trial. The research focused on outcomes directly relevant to the training of psychotherapists: therapeutic alliance, empathy, therapeutic self-efficacy and positive affect.</w:t>
      </w:r>
    </w:p>
    <w:p w14:paraId="31283DA5" w14:textId="77777777" w:rsidR="00762E5F" w:rsidRDefault="00C47ABF" w:rsidP="00B34B59">
      <w:pPr>
        <w:spacing w:after="0" w:line="360" w:lineRule="auto"/>
        <w:jc w:val="both"/>
      </w:pPr>
      <w:r>
        <w:tab/>
        <w:t xml:space="preserve">The choice of these outcomes was justified by the psychotherapeutic literature. </w:t>
      </w:r>
      <w:r w:rsidR="00477604">
        <w:t xml:space="preserve">Both </w:t>
      </w:r>
      <w:r>
        <w:t xml:space="preserve">empathy </w:t>
      </w:r>
      <w:r w:rsidR="00477604">
        <w:t xml:space="preserve">and the therapeutic alliance have been associated </w:t>
      </w:r>
      <w:r>
        <w:t>with the outcomes of psychotherapy (Elliott et al., 2018</w:t>
      </w:r>
      <w:r w:rsidR="00477604">
        <w:t xml:space="preserve">; Flückiger et al., 2018). </w:t>
      </w:r>
      <w:r>
        <w:t>Positive affect was included as a secondary outcome, given the findings of Study 1 and the importance of affective experience in the context of learning</w:t>
      </w:r>
      <w:r w:rsidR="00477604">
        <w:t>. Furthermore, also as a secondary outcome, the present study examines the therapist’s self-efficacy following the participants’ VR training.</w:t>
      </w:r>
    </w:p>
    <w:p w14:paraId="6FD1B9EE" w14:textId="77777777" w:rsidR="00762E5F" w:rsidRDefault="00C47ABF" w:rsidP="00B34B59">
      <w:pPr>
        <w:spacing w:after="0" w:line="360" w:lineRule="auto"/>
        <w:jc w:val="both"/>
      </w:pPr>
      <w:r>
        <w:tab/>
        <w:t xml:space="preserve">The control condition chosen was an active nature-based VR experience, in order to control for the non-specific effects of exposure to virtual reality. This choice was relevant because virtual natural environments can influence affective responses (Bolouki, 2024; Mostajeran et al., 2023). Thus, differences between groups could be more plausibly attributed to the specific content of the </w:t>
      </w:r>
      <w:r>
        <w:rPr>
          <w:i/>
        </w:rPr>
        <w:t xml:space="preserve">Future Psychotherapists </w:t>
      </w:r>
      <w:r>
        <w:t>application, rather than merely to the novelty, immersion or general enjoyment associated with the VR experience.</w:t>
      </w:r>
    </w:p>
    <w:p w14:paraId="5BD6DB3E" w14:textId="77777777" w:rsidR="00762E5F" w:rsidRPr="005430EF" w:rsidRDefault="00000000" w:rsidP="00B34B59">
      <w:pPr>
        <w:pStyle w:val="Heading3"/>
        <w:spacing w:after="0" w:line="360" w:lineRule="auto"/>
        <w:rPr>
          <w:color w:val="000000" w:themeColor="text1"/>
        </w:rPr>
      </w:pPr>
      <w:r w:rsidRPr="005430EF">
        <w:rPr>
          <w:rFonts w:ascii="Times New Roman" w:eastAsia="Times New Roman" w:hAnsi="Times New Roman"/>
          <w:color w:val="000000" w:themeColor="text1"/>
        </w:rPr>
        <w:t>3.4.2. Methods</w:t>
      </w:r>
    </w:p>
    <w:p w14:paraId="5CA5B60F" w14:textId="77777777" w:rsidR="00762E5F" w:rsidRDefault="00C47ABF" w:rsidP="00B34B59">
      <w:pPr>
        <w:spacing w:after="0" w:line="360" w:lineRule="auto"/>
        <w:jc w:val="both"/>
      </w:pPr>
      <w:r>
        <w:tab/>
        <w:t xml:space="preserve">The study employed a randomised controlled design with two parallel conditions: the </w:t>
      </w:r>
      <w:r>
        <w:rPr>
          <w:i/>
        </w:rPr>
        <w:t xml:space="preserve">Future Psychotherapists </w:t>
      </w:r>
      <w:r>
        <w:t xml:space="preserve">intervention and an active VR control condition, </w:t>
      </w:r>
      <w:r w:rsidRPr="00C47ABF">
        <w:rPr>
          <w:i/>
          <w:iCs/>
        </w:rPr>
        <w:t>Nature Treks VR</w:t>
      </w:r>
      <w:r>
        <w:t>. The randomised controlled design allows for the examination of differences between groups under more rigorous methodological conditions (Schulz et al., 2010). Outcomes were assessed at two time points: T0, prior to the intervention, and T1, immediately following the intervention. Therapeutic alliance, state empathy, therapeutic self-efficacy and positive affect were measured at both time points, whilst presence was assessed only post-intervention and analysed as a potential moderator.</w:t>
      </w:r>
    </w:p>
    <w:p w14:paraId="5C4643CD" w14:textId="77777777" w:rsidR="00762E5F" w:rsidRDefault="00C47ABF" w:rsidP="00B34B59">
      <w:pPr>
        <w:spacing w:after="0" w:line="360" w:lineRule="auto"/>
        <w:jc w:val="both"/>
      </w:pPr>
      <w:r>
        <w:tab/>
        <w:t xml:space="preserve">The sample comprised 40 psychology students, recruited from the Faculty of Psychology and Educational Sciences at Babeș-Bolyai University and via the Cristolțan Virtual Lab for Future </w:t>
      </w:r>
      <w:r>
        <w:lastRenderedPageBreak/>
        <w:t>&amp; Novice Psychotherapists. Of the 79 individuals who expressed an interest, 40 were enrolled and randomised: 20 to the intervention group and 20 to the control group. The final sample comprised 36 women and 4 men. Participants were required to be enrolled in a psychology programme and to have had prior exposure to clinical interactions through practical placements or university role-play exercises.</w:t>
      </w:r>
    </w:p>
    <w:p w14:paraId="0EA3EDF6" w14:textId="77777777" w:rsidR="00762E5F" w:rsidRDefault="00256723" w:rsidP="00B34B59">
      <w:pPr>
        <w:spacing w:after="0" w:line="360" w:lineRule="auto"/>
        <w:jc w:val="both"/>
      </w:pPr>
      <w:r>
        <w:tab/>
        <w:t xml:space="preserve">Randomisation was carried out using the Sealed Envelope platform. Participants signed the informed consent form and the GDPR form, after which they were allocated to one of the conditions. Prior to the VR task, participants were asked to imagine a psychotherapy session or a role-play, and then completed the baseline questionnaires: </w:t>
      </w:r>
      <w:r w:rsidRPr="00256723">
        <w:rPr>
          <w:i/>
          <w:iCs/>
        </w:rPr>
        <w:t xml:space="preserve">the Therapist Self-Efficacy Scale </w:t>
      </w:r>
      <w:r w:rsidRPr="00256723">
        <w:rPr>
          <w:i/>
        </w:rPr>
        <w:t xml:space="preserve">(Gori et al., 2022), </w:t>
      </w:r>
      <w:r w:rsidRPr="00256723">
        <w:rPr>
          <w:i/>
          <w:iCs/>
        </w:rPr>
        <w:t xml:space="preserve">the Working Alliance Inventory – Short Revised </w:t>
      </w:r>
      <w:r w:rsidRPr="00256723">
        <w:rPr>
          <w:i/>
        </w:rPr>
        <w:t>(Hatcher &amp; Gillaspy, 2006</w:t>
      </w:r>
      <w:r w:rsidR="00525DC0">
        <w:rPr>
          <w:i/>
        </w:rPr>
        <w:t xml:space="preserve">; </w:t>
      </w:r>
      <w:r w:rsidR="00525DC0" w:rsidRPr="00525DC0">
        <w:rPr>
          <w:i/>
        </w:rPr>
        <w:t>Hatcher et al., 2020</w:t>
      </w:r>
      <w:r w:rsidRPr="00256723">
        <w:rPr>
          <w:i/>
        </w:rPr>
        <w:t xml:space="preserve">), </w:t>
      </w:r>
      <w:r w:rsidRPr="00256723">
        <w:rPr>
          <w:i/>
          <w:iCs/>
        </w:rPr>
        <w:t xml:space="preserve">PANAS </w:t>
      </w:r>
      <w:r w:rsidRPr="00256723">
        <w:rPr>
          <w:i/>
        </w:rPr>
        <w:t xml:space="preserve">(Watson et al., 1988) and </w:t>
      </w:r>
      <w:r w:rsidRPr="00256723">
        <w:rPr>
          <w:i/>
          <w:iCs/>
        </w:rPr>
        <w:t xml:space="preserve">the State Empathy Scale </w:t>
      </w:r>
      <w:r w:rsidRPr="00256723">
        <w:rPr>
          <w:i/>
        </w:rPr>
        <w:t xml:space="preserve">(Shen, 2010). Following the VR task, they completed the same questionnaires, plus the Romanian version of </w:t>
      </w:r>
      <w:r w:rsidRPr="00256723">
        <w:rPr>
          <w:i/>
          <w:iCs/>
        </w:rPr>
        <w:t xml:space="preserve">the ITC-SOPI </w:t>
      </w:r>
      <w:r w:rsidRPr="00256723">
        <w:rPr>
          <w:i/>
        </w:rPr>
        <w:t>(Lessiter et al., 2001; Cristolțan, 2026b)</w:t>
      </w:r>
      <w:r>
        <w:t>. Statistical analyses were carried out in JASP (JASP Team, 2023).</w:t>
      </w:r>
    </w:p>
    <w:p w14:paraId="41ECABB7" w14:textId="77777777" w:rsidR="00762E5F" w:rsidRDefault="00256723" w:rsidP="00B34B59">
      <w:pPr>
        <w:spacing w:after="0" w:line="360" w:lineRule="auto"/>
        <w:jc w:val="both"/>
      </w:pPr>
      <w:r>
        <w:tab/>
        <w:t xml:space="preserve">Participants in the intervention group used the </w:t>
      </w:r>
      <w:r>
        <w:rPr>
          <w:i/>
        </w:rPr>
        <w:t xml:space="preserve">Future Psychotherapists </w:t>
      </w:r>
      <w:r>
        <w:t>app via a Meta Quest 2 headset (Meta Platforms, Inc., 2020). The scenario simulated an individual session with a virtual client presenting with mild depressive symptoms and relationship problems. The training comprised 16 decision points, of which 9 focused on empathy and 7 on building the therapeutic alliance (Cristolțan, 2026a). At the end, users received performance feedback and were able to review any incorrect choices. The session lasted approximately 15–20 minutes.</w:t>
      </w:r>
    </w:p>
    <w:p w14:paraId="2F8471E9" w14:textId="77777777" w:rsidR="00762E5F" w:rsidRDefault="00256723" w:rsidP="00B34B59">
      <w:pPr>
        <w:spacing w:after="0" w:line="360" w:lineRule="auto"/>
        <w:jc w:val="both"/>
      </w:pPr>
      <w:r>
        <w:tab/>
        <w:t xml:space="preserve">Participants in the control group undertook an immersive experience exploring virtual nature via </w:t>
      </w:r>
      <w:r w:rsidRPr="00256723">
        <w:rPr>
          <w:i/>
          <w:iCs/>
        </w:rPr>
        <w:t>Nature Treks VR</w:t>
      </w:r>
      <w:r>
        <w:t>. This condition was chosen to control for the general effects of VR exposure, such as novelty, immersion and the possible positive affective effect of virtual natural environments (Bolouki, 2024; Mostajeran et al., 2023). The duration of exposure was similar to that of the intervention.</w:t>
      </w:r>
    </w:p>
    <w:p w14:paraId="0712B6BD" w14:textId="77777777" w:rsidR="00762E5F" w:rsidRDefault="00256723" w:rsidP="00B34B59">
      <w:pPr>
        <w:spacing w:after="0" w:line="360" w:lineRule="auto"/>
        <w:jc w:val="both"/>
      </w:pPr>
      <w:r>
        <w:tab/>
        <w:t xml:space="preserve">Statistical analyses were conducted in JASP (JASP Team, 2023). For each outcome, a 2 × 2 mixed ANOVA was used, with Time (T0 vs. T1) as the within-subjects factor and Group (intervention vs. control) as the between-subjects factor. The main test was the Time × Group interaction, which indicates whether the change from pre-test to post-test differs between groups. For outcomes where differences between groups were observed, moderation analyses were carried out using the </w:t>
      </w:r>
      <w:r>
        <w:rPr>
          <w:i/>
        </w:rPr>
        <w:t>ITC-SOPI</w:t>
      </w:r>
      <w:r>
        <w:t xml:space="preserve"> subscales.</w:t>
      </w:r>
    </w:p>
    <w:p w14:paraId="73F921E3" w14:textId="77777777" w:rsidR="00762E5F" w:rsidRPr="005430EF" w:rsidRDefault="00000000" w:rsidP="00B34B59">
      <w:pPr>
        <w:pStyle w:val="Heading3"/>
        <w:spacing w:after="0" w:line="360" w:lineRule="auto"/>
        <w:rPr>
          <w:color w:val="000000" w:themeColor="text1"/>
        </w:rPr>
      </w:pPr>
      <w:r w:rsidRPr="005430EF">
        <w:rPr>
          <w:rFonts w:ascii="Times New Roman" w:eastAsia="Times New Roman" w:hAnsi="Times New Roman"/>
          <w:color w:val="000000" w:themeColor="text1"/>
        </w:rPr>
        <w:lastRenderedPageBreak/>
        <w:t>3.4.3. Results</w:t>
      </w:r>
    </w:p>
    <w:p w14:paraId="3795E844" w14:textId="77777777" w:rsidR="00762E5F" w:rsidRDefault="00256723" w:rsidP="00B34B59">
      <w:pPr>
        <w:spacing w:after="0" w:line="360" w:lineRule="auto"/>
        <w:jc w:val="both"/>
      </w:pPr>
      <w:r>
        <w:tab/>
        <w:t xml:space="preserve">The ANOVA results showed significant Time × Group interactions for the </w:t>
      </w:r>
      <w:r w:rsidRPr="00256723">
        <w:rPr>
          <w:i/>
          <w:iCs/>
        </w:rPr>
        <w:t>Task</w:t>
      </w:r>
      <w:r>
        <w:t xml:space="preserve"> dimension of the therapeutic alliance, F(1, 38) = 9.75, p = .003, eta-squared = .048, for cognitive empathy, F(1, 38) = 5.19, p = .028, eta-squared = .023, for therapeutic self-efficacy, F(1, 38) = 11.23, p = .002, eta-squared = .029, and for positive affect, F(1, 38) = 4.20, p = .047, eta-squared = .018. These results indicate that participants in the intervention group showed greater increases than those in the control group on these variables.</w:t>
      </w:r>
    </w:p>
    <w:p w14:paraId="0CFC5AA3" w14:textId="77777777" w:rsidR="00762E5F" w:rsidRDefault="00000000" w:rsidP="00B34B59">
      <w:pPr>
        <w:spacing w:after="0" w:line="360" w:lineRule="auto"/>
        <w:jc w:val="both"/>
      </w:pPr>
      <w:r>
        <w:t xml:space="preserve">No significant interactions were observed for the </w:t>
      </w:r>
      <w:r w:rsidRPr="00256723">
        <w:rPr>
          <w:i/>
          <w:iCs/>
        </w:rPr>
        <w:t xml:space="preserve">Goal and Bond </w:t>
      </w:r>
      <w:r>
        <w:t xml:space="preserve">dimensions of the therapeutic alliance, nor for affective empathy or associative empathy. This pattern suggests that a single VR session appears to be more effective for relational components more directly linked to task understanding and the cognitive perspective on the client than for dimensions that require time, negotiation and the development of a deeper interpersonal connection </w:t>
      </w:r>
      <w:r w:rsidR="005430EF">
        <w:t>(Table 6).</w:t>
      </w:r>
    </w:p>
    <w:p w14:paraId="482DE233" w14:textId="77777777" w:rsidR="00762E5F" w:rsidRDefault="00256723" w:rsidP="00B34B59">
      <w:pPr>
        <w:spacing w:after="0" w:line="360" w:lineRule="auto"/>
        <w:jc w:val="both"/>
      </w:pPr>
      <w:r>
        <w:tab/>
        <w:t xml:space="preserve">Moderation analyses tested whether the effects of the intervention on cognitive empathy and on the ‘Task’ dimension of the therapeutic alliance differed according to the </w:t>
      </w:r>
      <w:r>
        <w:rPr>
          <w:i/>
        </w:rPr>
        <w:t>ITC-SOPI</w:t>
      </w:r>
      <w:r>
        <w:t xml:space="preserve"> subscales: </w:t>
      </w:r>
      <w:r>
        <w:rPr>
          <w:i/>
          <w:iCs/>
        </w:rPr>
        <w:t>Spatial Presence</w:t>
      </w:r>
      <w:r w:rsidRPr="00256723">
        <w:rPr>
          <w:i/>
          <w:iCs/>
        </w:rPr>
        <w:t xml:space="preserve">, Engagement, </w:t>
      </w:r>
      <w:r>
        <w:rPr>
          <w:i/>
          <w:iCs/>
        </w:rPr>
        <w:t xml:space="preserve">Negative Effects </w:t>
      </w:r>
      <w:r w:rsidRPr="00256723">
        <w:rPr>
          <w:i/>
          <w:iCs/>
        </w:rPr>
        <w:t xml:space="preserve">and </w:t>
      </w:r>
      <w:r>
        <w:rPr>
          <w:i/>
          <w:iCs/>
        </w:rPr>
        <w:t xml:space="preserve">Ecological </w:t>
      </w:r>
      <w:r w:rsidRPr="00256723">
        <w:rPr>
          <w:i/>
          <w:iCs/>
        </w:rPr>
        <w:t>Validity/Naturalness</w:t>
      </w:r>
      <w:r>
        <w:t>. None of the Group × Moderator interactions were significant. Thus, presence did not significantly moderate the effects of the intervention on these outcomes.</w:t>
      </w:r>
    </w:p>
    <w:p w14:paraId="234BA734" w14:textId="77777777" w:rsidR="00762E5F" w:rsidRDefault="00256723" w:rsidP="00B34B59">
      <w:pPr>
        <w:spacing w:after="0" w:line="360" w:lineRule="auto"/>
        <w:jc w:val="both"/>
      </w:pPr>
      <w:r>
        <w:tab/>
        <w:t>The explanatory model was substantial for cognitive empathy, with R² ranging from .501 to .514, and moderate for the Task dimension of the therapeutic alliance, with R² ranging from .356 to .466. However, these model values did not reflect moderating effects of presence, but rather the contribution of the variables included in the regressions, including baseline scores.</w:t>
      </w:r>
    </w:p>
    <w:p w14:paraId="285A4637" w14:textId="77777777" w:rsidR="003B7C52" w:rsidRDefault="003B7C52" w:rsidP="00B34B59">
      <w:pPr>
        <w:spacing w:after="0" w:line="360" w:lineRule="auto"/>
        <w:jc w:val="both"/>
      </w:pPr>
    </w:p>
    <w:p w14:paraId="2A447B08" w14:textId="77777777" w:rsidR="003B7C52" w:rsidRDefault="00000000" w:rsidP="00B34B59">
      <w:pPr>
        <w:spacing w:after="0" w:line="360" w:lineRule="auto"/>
        <w:jc w:val="both"/>
        <w:rPr>
          <w:i/>
          <w:iCs/>
        </w:rPr>
      </w:pPr>
      <w:r w:rsidRPr="003B7C52">
        <w:rPr>
          <w:b/>
          <w:bCs/>
        </w:rPr>
        <w:t xml:space="preserve">Table 6. </w:t>
      </w:r>
      <w:r w:rsidR="006F6F24" w:rsidRPr="006F6F24">
        <w:rPr>
          <w:i/>
          <w:iCs/>
        </w:rPr>
        <w:t>Time × Group interactions for the results of Study 4</w:t>
      </w:r>
    </w:p>
    <w:tbl>
      <w:tblPr>
        <w:tblStyle w:val="TableGrid"/>
        <w:tblW w:w="0" w:type="auto"/>
        <w:jc w:val="center"/>
        <w:tblLook w:val="04A0" w:firstRow="1" w:lastRow="0" w:firstColumn="1" w:lastColumn="0" w:noHBand="0" w:noVBand="1"/>
      </w:tblPr>
      <w:tblGrid>
        <w:gridCol w:w="2352"/>
        <w:gridCol w:w="2373"/>
        <w:gridCol w:w="2292"/>
        <w:gridCol w:w="2379"/>
      </w:tblGrid>
      <w:tr w:rsidR="00762E5F" w14:paraId="5E486DF7" w14:textId="77777777">
        <w:trPr>
          <w:cantSplit/>
          <w:jc w:val="center"/>
        </w:trPr>
        <w:tc>
          <w:tcPr>
            <w:tcW w:w="2484" w:type="dxa"/>
            <w:vAlign w:val="center"/>
          </w:tcPr>
          <w:p w14:paraId="2030AD96" w14:textId="77777777" w:rsidR="00762E5F" w:rsidRDefault="00000000" w:rsidP="00B34B59">
            <w:pPr>
              <w:spacing w:after="0" w:line="360" w:lineRule="auto"/>
              <w:jc w:val="center"/>
            </w:pPr>
            <w:r>
              <w:rPr>
                <w:b/>
                <w:sz w:val="20"/>
              </w:rPr>
              <w:t>Outcome</w:t>
            </w:r>
          </w:p>
        </w:tc>
        <w:tc>
          <w:tcPr>
            <w:tcW w:w="2484" w:type="dxa"/>
            <w:vAlign w:val="center"/>
          </w:tcPr>
          <w:p w14:paraId="06801881" w14:textId="77777777" w:rsidR="00762E5F" w:rsidRDefault="00000000" w:rsidP="00B34B59">
            <w:pPr>
              <w:spacing w:after="0" w:line="360" w:lineRule="auto"/>
              <w:jc w:val="center"/>
            </w:pPr>
            <w:r>
              <w:rPr>
                <w:b/>
                <w:sz w:val="20"/>
              </w:rPr>
              <w:t>Time × Group Interaction</w:t>
            </w:r>
          </w:p>
        </w:tc>
        <w:tc>
          <w:tcPr>
            <w:tcW w:w="2484" w:type="dxa"/>
            <w:vAlign w:val="center"/>
          </w:tcPr>
          <w:p w14:paraId="7B38CB80" w14:textId="77777777" w:rsidR="00762E5F" w:rsidRDefault="00000000" w:rsidP="00B34B59">
            <w:pPr>
              <w:spacing w:after="0" w:line="360" w:lineRule="auto"/>
              <w:jc w:val="center"/>
            </w:pPr>
            <w:r>
              <w:rPr>
                <w:b/>
                <w:sz w:val="20"/>
              </w:rPr>
              <w:t>p</w:t>
            </w:r>
          </w:p>
        </w:tc>
        <w:tc>
          <w:tcPr>
            <w:tcW w:w="2484" w:type="dxa"/>
            <w:vAlign w:val="center"/>
          </w:tcPr>
          <w:p w14:paraId="4CE3E802" w14:textId="77777777" w:rsidR="00762E5F" w:rsidRDefault="00000000" w:rsidP="00B34B59">
            <w:pPr>
              <w:spacing w:after="0" w:line="360" w:lineRule="auto"/>
              <w:jc w:val="center"/>
            </w:pPr>
            <w:r>
              <w:rPr>
                <w:b/>
                <w:sz w:val="20"/>
              </w:rPr>
              <w:t>Interpretation</w:t>
            </w:r>
          </w:p>
        </w:tc>
      </w:tr>
      <w:tr w:rsidR="00762E5F" w14:paraId="0BF8B5FF" w14:textId="77777777">
        <w:trPr>
          <w:cantSplit/>
          <w:jc w:val="center"/>
        </w:trPr>
        <w:tc>
          <w:tcPr>
            <w:tcW w:w="2484" w:type="dxa"/>
            <w:vAlign w:val="center"/>
          </w:tcPr>
          <w:p w14:paraId="1BAF8363" w14:textId="77777777" w:rsidR="00762E5F" w:rsidRDefault="00000000" w:rsidP="00B34B59">
            <w:pPr>
              <w:spacing w:after="0" w:line="360" w:lineRule="auto"/>
            </w:pPr>
            <w:r>
              <w:rPr>
                <w:sz w:val="20"/>
              </w:rPr>
              <w:t>Therapeutic alliance – Task</w:t>
            </w:r>
          </w:p>
        </w:tc>
        <w:tc>
          <w:tcPr>
            <w:tcW w:w="2484" w:type="dxa"/>
            <w:vAlign w:val="center"/>
          </w:tcPr>
          <w:p w14:paraId="37501A99" w14:textId="77777777" w:rsidR="00762E5F" w:rsidRDefault="00000000" w:rsidP="00B34B59">
            <w:pPr>
              <w:spacing w:after="0" w:line="360" w:lineRule="auto"/>
              <w:jc w:val="center"/>
            </w:pPr>
            <w:r>
              <w:rPr>
                <w:sz w:val="20"/>
              </w:rPr>
              <w:t>F(1,38)=9.75</w:t>
            </w:r>
          </w:p>
        </w:tc>
        <w:tc>
          <w:tcPr>
            <w:tcW w:w="2484" w:type="dxa"/>
            <w:vAlign w:val="center"/>
          </w:tcPr>
          <w:p w14:paraId="17192AD0" w14:textId="77777777" w:rsidR="00762E5F" w:rsidRDefault="00000000" w:rsidP="00B34B59">
            <w:pPr>
              <w:spacing w:after="0" w:line="360" w:lineRule="auto"/>
              <w:jc w:val="center"/>
            </w:pPr>
            <w:r>
              <w:rPr>
                <w:sz w:val="20"/>
              </w:rPr>
              <w:t>.003</w:t>
            </w:r>
          </w:p>
        </w:tc>
        <w:tc>
          <w:tcPr>
            <w:tcW w:w="2484" w:type="dxa"/>
            <w:vAlign w:val="center"/>
          </w:tcPr>
          <w:p w14:paraId="3B8C2F20" w14:textId="77777777" w:rsidR="00762E5F" w:rsidRDefault="00000000" w:rsidP="00B34B59">
            <w:pPr>
              <w:spacing w:after="0" w:line="360" w:lineRule="auto"/>
              <w:jc w:val="center"/>
            </w:pPr>
            <w:r>
              <w:rPr>
                <w:sz w:val="20"/>
              </w:rPr>
              <w:t>greater increase in the intervention group</w:t>
            </w:r>
          </w:p>
        </w:tc>
      </w:tr>
      <w:tr w:rsidR="00762E5F" w14:paraId="5CC97F42" w14:textId="77777777">
        <w:trPr>
          <w:cantSplit/>
          <w:jc w:val="center"/>
        </w:trPr>
        <w:tc>
          <w:tcPr>
            <w:tcW w:w="2484" w:type="dxa"/>
            <w:vAlign w:val="center"/>
          </w:tcPr>
          <w:p w14:paraId="5F6AA32B" w14:textId="77777777" w:rsidR="00762E5F" w:rsidRDefault="00000000" w:rsidP="00B34B59">
            <w:pPr>
              <w:spacing w:after="0" w:line="360" w:lineRule="auto"/>
            </w:pPr>
            <w:r>
              <w:rPr>
                <w:sz w:val="20"/>
              </w:rPr>
              <w:t>Therapeutic alliance – Goal</w:t>
            </w:r>
          </w:p>
        </w:tc>
        <w:tc>
          <w:tcPr>
            <w:tcW w:w="2484" w:type="dxa"/>
            <w:vAlign w:val="center"/>
          </w:tcPr>
          <w:p w14:paraId="190296EB" w14:textId="77777777" w:rsidR="00762E5F" w:rsidRDefault="00000000" w:rsidP="00B34B59">
            <w:pPr>
              <w:spacing w:after="0" w:line="360" w:lineRule="auto"/>
              <w:jc w:val="center"/>
            </w:pPr>
            <w:r>
              <w:rPr>
                <w:sz w:val="20"/>
              </w:rPr>
              <w:t>F(1,38)=0.36</w:t>
            </w:r>
          </w:p>
        </w:tc>
        <w:tc>
          <w:tcPr>
            <w:tcW w:w="2484" w:type="dxa"/>
            <w:vAlign w:val="center"/>
          </w:tcPr>
          <w:p w14:paraId="1364773C" w14:textId="77777777" w:rsidR="00762E5F" w:rsidRDefault="00000000" w:rsidP="00B34B59">
            <w:pPr>
              <w:spacing w:after="0" w:line="360" w:lineRule="auto"/>
              <w:jc w:val="center"/>
            </w:pPr>
            <w:r>
              <w:rPr>
                <w:sz w:val="20"/>
              </w:rPr>
              <w:t>.553</w:t>
            </w:r>
          </w:p>
        </w:tc>
        <w:tc>
          <w:tcPr>
            <w:tcW w:w="2484" w:type="dxa"/>
            <w:vAlign w:val="center"/>
          </w:tcPr>
          <w:p w14:paraId="103F05AD" w14:textId="77777777" w:rsidR="00762E5F" w:rsidRDefault="00000000" w:rsidP="00B34B59">
            <w:pPr>
              <w:spacing w:after="0" w:line="360" w:lineRule="auto"/>
              <w:jc w:val="center"/>
            </w:pPr>
            <w:r>
              <w:rPr>
                <w:sz w:val="20"/>
              </w:rPr>
              <w:t>non-significant effect</w:t>
            </w:r>
          </w:p>
        </w:tc>
      </w:tr>
      <w:tr w:rsidR="00762E5F" w14:paraId="66C96F71" w14:textId="77777777">
        <w:trPr>
          <w:cantSplit/>
          <w:jc w:val="center"/>
        </w:trPr>
        <w:tc>
          <w:tcPr>
            <w:tcW w:w="2484" w:type="dxa"/>
            <w:vAlign w:val="center"/>
          </w:tcPr>
          <w:p w14:paraId="3923F6C5" w14:textId="77777777" w:rsidR="00762E5F" w:rsidRDefault="00000000" w:rsidP="00B34B59">
            <w:pPr>
              <w:spacing w:after="0" w:line="360" w:lineRule="auto"/>
            </w:pPr>
            <w:r>
              <w:rPr>
                <w:sz w:val="20"/>
              </w:rPr>
              <w:t>Therapeutic alliance – Bond</w:t>
            </w:r>
          </w:p>
        </w:tc>
        <w:tc>
          <w:tcPr>
            <w:tcW w:w="2484" w:type="dxa"/>
            <w:vAlign w:val="center"/>
          </w:tcPr>
          <w:p w14:paraId="33BEBDB5" w14:textId="77777777" w:rsidR="00762E5F" w:rsidRDefault="00000000" w:rsidP="00B34B59">
            <w:pPr>
              <w:spacing w:after="0" w:line="360" w:lineRule="auto"/>
              <w:jc w:val="center"/>
            </w:pPr>
            <w:r>
              <w:rPr>
                <w:sz w:val="20"/>
              </w:rPr>
              <w:t>F(1,38)=0.25</w:t>
            </w:r>
          </w:p>
        </w:tc>
        <w:tc>
          <w:tcPr>
            <w:tcW w:w="2484" w:type="dxa"/>
            <w:vAlign w:val="center"/>
          </w:tcPr>
          <w:p w14:paraId="37808FF0" w14:textId="77777777" w:rsidR="00762E5F" w:rsidRDefault="00000000" w:rsidP="00B34B59">
            <w:pPr>
              <w:spacing w:after="0" w:line="360" w:lineRule="auto"/>
              <w:jc w:val="center"/>
            </w:pPr>
            <w:r>
              <w:rPr>
                <w:sz w:val="20"/>
              </w:rPr>
              <w:t>.622</w:t>
            </w:r>
          </w:p>
        </w:tc>
        <w:tc>
          <w:tcPr>
            <w:tcW w:w="2484" w:type="dxa"/>
            <w:vAlign w:val="center"/>
          </w:tcPr>
          <w:p w14:paraId="5A1EB317" w14:textId="77777777" w:rsidR="00762E5F" w:rsidRDefault="00000000" w:rsidP="00B34B59">
            <w:pPr>
              <w:spacing w:after="0" w:line="360" w:lineRule="auto"/>
              <w:jc w:val="center"/>
            </w:pPr>
            <w:r>
              <w:rPr>
                <w:sz w:val="20"/>
              </w:rPr>
              <w:t>non-significant effect</w:t>
            </w:r>
          </w:p>
        </w:tc>
      </w:tr>
      <w:tr w:rsidR="00762E5F" w14:paraId="3B6B3A06" w14:textId="77777777">
        <w:trPr>
          <w:cantSplit/>
          <w:jc w:val="center"/>
        </w:trPr>
        <w:tc>
          <w:tcPr>
            <w:tcW w:w="2484" w:type="dxa"/>
            <w:vAlign w:val="center"/>
          </w:tcPr>
          <w:p w14:paraId="58C52614" w14:textId="77777777" w:rsidR="00762E5F" w:rsidRDefault="00000000" w:rsidP="00B34B59">
            <w:pPr>
              <w:spacing w:after="0" w:line="360" w:lineRule="auto"/>
            </w:pPr>
            <w:r>
              <w:rPr>
                <w:sz w:val="20"/>
              </w:rPr>
              <w:t>Affective empathy</w:t>
            </w:r>
          </w:p>
        </w:tc>
        <w:tc>
          <w:tcPr>
            <w:tcW w:w="2484" w:type="dxa"/>
            <w:vAlign w:val="center"/>
          </w:tcPr>
          <w:p w14:paraId="1E52B9EA" w14:textId="77777777" w:rsidR="00762E5F" w:rsidRDefault="00000000" w:rsidP="00B34B59">
            <w:pPr>
              <w:spacing w:after="0" w:line="360" w:lineRule="auto"/>
              <w:jc w:val="center"/>
            </w:pPr>
            <w:r>
              <w:rPr>
                <w:sz w:val="20"/>
              </w:rPr>
              <w:t>F(1,38)=3.34</w:t>
            </w:r>
          </w:p>
        </w:tc>
        <w:tc>
          <w:tcPr>
            <w:tcW w:w="2484" w:type="dxa"/>
            <w:vAlign w:val="center"/>
          </w:tcPr>
          <w:p w14:paraId="66B30805" w14:textId="77777777" w:rsidR="00762E5F" w:rsidRDefault="00000000" w:rsidP="00B34B59">
            <w:pPr>
              <w:spacing w:after="0" w:line="360" w:lineRule="auto"/>
              <w:jc w:val="center"/>
            </w:pPr>
            <w:r>
              <w:rPr>
                <w:sz w:val="20"/>
              </w:rPr>
              <w:t>.076</w:t>
            </w:r>
          </w:p>
        </w:tc>
        <w:tc>
          <w:tcPr>
            <w:tcW w:w="2484" w:type="dxa"/>
            <w:vAlign w:val="center"/>
          </w:tcPr>
          <w:p w14:paraId="7D4782A0" w14:textId="77777777" w:rsidR="00762E5F" w:rsidRDefault="00000000" w:rsidP="00B34B59">
            <w:pPr>
              <w:spacing w:after="0" w:line="360" w:lineRule="auto"/>
              <w:jc w:val="center"/>
            </w:pPr>
            <w:r>
              <w:rPr>
                <w:sz w:val="20"/>
              </w:rPr>
              <w:t>non-significant effect</w:t>
            </w:r>
          </w:p>
        </w:tc>
      </w:tr>
      <w:tr w:rsidR="00762E5F" w14:paraId="041DCB08" w14:textId="77777777">
        <w:trPr>
          <w:cantSplit/>
          <w:jc w:val="center"/>
        </w:trPr>
        <w:tc>
          <w:tcPr>
            <w:tcW w:w="2484" w:type="dxa"/>
            <w:vAlign w:val="center"/>
          </w:tcPr>
          <w:p w14:paraId="1B9DC270" w14:textId="77777777" w:rsidR="00762E5F" w:rsidRDefault="00000000" w:rsidP="00B34B59">
            <w:pPr>
              <w:spacing w:after="0" w:line="360" w:lineRule="auto"/>
            </w:pPr>
            <w:r>
              <w:rPr>
                <w:sz w:val="20"/>
              </w:rPr>
              <w:lastRenderedPageBreak/>
              <w:t>Cognitive empathy</w:t>
            </w:r>
          </w:p>
        </w:tc>
        <w:tc>
          <w:tcPr>
            <w:tcW w:w="2484" w:type="dxa"/>
            <w:vAlign w:val="center"/>
          </w:tcPr>
          <w:p w14:paraId="0E38F664" w14:textId="77777777" w:rsidR="00762E5F" w:rsidRDefault="00000000" w:rsidP="00B34B59">
            <w:pPr>
              <w:spacing w:after="0" w:line="360" w:lineRule="auto"/>
              <w:jc w:val="center"/>
            </w:pPr>
            <w:r>
              <w:rPr>
                <w:sz w:val="20"/>
              </w:rPr>
              <w:t>F(1,38)=5.19</w:t>
            </w:r>
          </w:p>
        </w:tc>
        <w:tc>
          <w:tcPr>
            <w:tcW w:w="2484" w:type="dxa"/>
            <w:vAlign w:val="center"/>
          </w:tcPr>
          <w:p w14:paraId="3A511A8B" w14:textId="77777777" w:rsidR="00762E5F" w:rsidRDefault="00000000" w:rsidP="00B34B59">
            <w:pPr>
              <w:spacing w:after="0" w:line="360" w:lineRule="auto"/>
              <w:jc w:val="center"/>
            </w:pPr>
            <w:r>
              <w:rPr>
                <w:sz w:val="20"/>
              </w:rPr>
              <w:t>.028</w:t>
            </w:r>
          </w:p>
        </w:tc>
        <w:tc>
          <w:tcPr>
            <w:tcW w:w="2484" w:type="dxa"/>
            <w:vAlign w:val="center"/>
          </w:tcPr>
          <w:p w14:paraId="54741385" w14:textId="77777777" w:rsidR="00762E5F" w:rsidRDefault="00000000" w:rsidP="00B34B59">
            <w:pPr>
              <w:spacing w:after="0" w:line="360" w:lineRule="auto"/>
              <w:jc w:val="center"/>
            </w:pPr>
            <w:r>
              <w:rPr>
                <w:sz w:val="20"/>
              </w:rPr>
              <w:t>greater increase in the intervention group</w:t>
            </w:r>
          </w:p>
        </w:tc>
      </w:tr>
      <w:tr w:rsidR="00762E5F" w14:paraId="6341B63B" w14:textId="77777777">
        <w:trPr>
          <w:cantSplit/>
          <w:jc w:val="center"/>
        </w:trPr>
        <w:tc>
          <w:tcPr>
            <w:tcW w:w="2484" w:type="dxa"/>
            <w:vAlign w:val="center"/>
          </w:tcPr>
          <w:p w14:paraId="0602B319" w14:textId="77777777" w:rsidR="00762E5F" w:rsidRDefault="00000000" w:rsidP="00B34B59">
            <w:pPr>
              <w:spacing w:after="0" w:line="360" w:lineRule="auto"/>
            </w:pPr>
            <w:r>
              <w:rPr>
                <w:sz w:val="20"/>
              </w:rPr>
              <w:t>Associative empathy</w:t>
            </w:r>
          </w:p>
        </w:tc>
        <w:tc>
          <w:tcPr>
            <w:tcW w:w="2484" w:type="dxa"/>
            <w:vAlign w:val="center"/>
          </w:tcPr>
          <w:p w14:paraId="309D7A9C" w14:textId="77777777" w:rsidR="00762E5F" w:rsidRDefault="00000000" w:rsidP="00B34B59">
            <w:pPr>
              <w:spacing w:after="0" w:line="360" w:lineRule="auto"/>
              <w:jc w:val="center"/>
            </w:pPr>
            <w:r>
              <w:rPr>
                <w:sz w:val="20"/>
              </w:rPr>
              <w:t>F(1,38)=2.28</w:t>
            </w:r>
          </w:p>
        </w:tc>
        <w:tc>
          <w:tcPr>
            <w:tcW w:w="2484" w:type="dxa"/>
            <w:vAlign w:val="center"/>
          </w:tcPr>
          <w:p w14:paraId="247572D0" w14:textId="77777777" w:rsidR="00762E5F" w:rsidRDefault="00000000" w:rsidP="00B34B59">
            <w:pPr>
              <w:spacing w:after="0" w:line="360" w:lineRule="auto"/>
              <w:jc w:val="center"/>
            </w:pPr>
            <w:r>
              <w:rPr>
                <w:sz w:val="20"/>
              </w:rPr>
              <w:t>.139</w:t>
            </w:r>
          </w:p>
        </w:tc>
        <w:tc>
          <w:tcPr>
            <w:tcW w:w="2484" w:type="dxa"/>
            <w:vAlign w:val="center"/>
          </w:tcPr>
          <w:p w14:paraId="48C25B9F" w14:textId="77777777" w:rsidR="00762E5F" w:rsidRDefault="00000000" w:rsidP="00B34B59">
            <w:pPr>
              <w:spacing w:after="0" w:line="360" w:lineRule="auto"/>
              <w:jc w:val="center"/>
            </w:pPr>
            <w:r>
              <w:rPr>
                <w:sz w:val="20"/>
              </w:rPr>
              <w:t>non-significant effect</w:t>
            </w:r>
          </w:p>
        </w:tc>
      </w:tr>
      <w:tr w:rsidR="00762E5F" w14:paraId="48707087" w14:textId="77777777">
        <w:trPr>
          <w:cantSplit/>
          <w:jc w:val="center"/>
        </w:trPr>
        <w:tc>
          <w:tcPr>
            <w:tcW w:w="2484" w:type="dxa"/>
            <w:vAlign w:val="center"/>
          </w:tcPr>
          <w:p w14:paraId="6AF8DC9C" w14:textId="77777777" w:rsidR="00762E5F" w:rsidRDefault="00000000" w:rsidP="00B34B59">
            <w:pPr>
              <w:spacing w:after="0" w:line="360" w:lineRule="auto"/>
            </w:pPr>
            <w:r>
              <w:rPr>
                <w:sz w:val="20"/>
              </w:rPr>
              <w:t>Therapeutic self-efficacy</w:t>
            </w:r>
          </w:p>
        </w:tc>
        <w:tc>
          <w:tcPr>
            <w:tcW w:w="2484" w:type="dxa"/>
            <w:vAlign w:val="center"/>
          </w:tcPr>
          <w:p w14:paraId="68342B14" w14:textId="77777777" w:rsidR="00762E5F" w:rsidRDefault="00000000" w:rsidP="00B34B59">
            <w:pPr>
              <w:spacing w:after="0" w:line="360" w:lineRule="auto"/>
              <w:jc w:val="center"/>
            </w:pPr>
            <w:r>
              <w:rPr>
                <w:sz w:val="20"/>
              </w:rPr>
              <w:t>F(1,38)=11.23</w:t>
            </w:r>
          </w:p>
        </w:tc>
        <w:tc>
          <w:tcPr>
            <w:tcW w:w="2484" w:type="dxa"/>
            <w:vAlign w:val="center"/>
          </w:tcPr>
          <w:p w14:paraId="34659960" w14:textId="77777777" w:rsidR="00762E5F" w:rsidRDefault="00000000" w:rsidP="00B34B59">
            <w:pPr>
              <w:spacing w:after="0" w:line="360" w:lineRule="auto"/>
              <w:jc w:val="center"/>
            </w:pPr>
            <w:r>
              <w:rPr>
                <w:sz w:val="20"/>
              </w:rPr>
              <w:t>.002</w:t>
            </w:r>
          </w:p>
        </w:tc>
        <w:tc>
          <w:tcPr>
            <w:tcW w:w="2484" w:type="dxa"/>
            <w:vAlign w:val="center"/>
          </w:tcPr>
          <w:p w14:paraId="38B9BC0F" w14:textId="77777777" w:rsidR="00762E5F" w:rsidRDefault="00000000" w:rsidP="00B34B59">
            <w:pPr>
              <w:spacing w:after="0" w:line="360" w:lineRule="auto"/>
              <w:jc w:val="center"/>
            </w:pPr>
            <w:r>
              <w:rPr>
                <w:sz w:val="20"/>
              </w:rPr>
              <w:t>greater increase in the intervention group</w:t>
            </w:r>
          </w:p>
        </w:tc>
      </w:tr>
      <w:tr w:rsidR="00762E5F" w14:paraId="0603468F" w14:textId="77777777">
        <w:trPr>
          <w:cantSplit/>
          <w:jc w:val="center"/>
        </w:trPr>
        <w:tc>
          <w:tcPr>
            <w:tcW w:w="2484" w:type="dxa"/>
            <w:vAlign w:val="center"/>
          </w:tcPr>
          <w:p w14:paraId="1C99C629" w14:textId="77777777" w:rsidR="00762E5F" w:rsidRDefault="00000000" w:rsidP="00B34B59">
            <w:pPr>
              <w:spacing w:after="0" w:line="360" w:lineRule="auto"/>
            </w:pPr>
            <w:r>
              <w:rPr>
                <w:sz w:val="20"/>
              </w:rPr>
              <w:t>Positive affect</w:t>
            </w:r>
          </w:p>
        </w:tc>
        <w:tc>
          <w:tcPr>
            <w:tcW w:w="2484" w:type="dxa"/>
            <w:vAlign w:val="center"/>
          </w:tcPr>
          <w:p w14:paraId="5253C193" w14:textId="77777777" w:rsidR="00762E5F" w:rsidRDefault="00000000" w:rsidP="00B34B59">
            <w:pPr>
              <w:spacing w:after="0" w:line="360" w:lineRule="auto"/>
              <w:jc w:val="center"/>
            </w:pPr>
            <w:r>
              <w:rPr>
                <w:sz w:val="20"/>
              </w:rPr>
              <w:t>F(1,38)=4.20</w:t>
            </w:r>
          </w:p>
        </w:tc>
        <w:tc>
          <w:tcPr>
            <w:tcW w:w="2484" w:type="dxa"/>
            <w:vAlign w:val="center"/>
          </w:tcPr>
          <w:p w14:paraId="72360475" w14:textId="77777777" w:rsidR="00762E5F" w:rsidRDefault="00000000" w:rsidP="00B34B59">
            <w:pPr>
              <w:spacing w:after="0" w:line="360" w:lineRule="auto"/>
              <w:jc w:val="center"/>
            </w:pPr>
            <w:r>
              <w:rPr>
                <w:sz w:val="20"/>
              </w:rPr>
              <w:t>.047</w:t>
            </w:r>
          </w:p>
        </w:tc>
        <w:tc>
          <w:tcPr>
            <w:tcW w:w="2484" w:type="dxa"/>
            <w:vAlign w:val="center"/>
          </w:tcPr>
          <w:p w14:paraId="1D55F777" w14:textId="77777777" w:rsidR="00762E5F" w:rsidRDefault="00000000" w:rsidP="00B34B59">
            <w:pPr>
              <w:spacing w:after="0" w:line="360" w:lineRule="auto"/>
              <w:jc w:val="center"/>
            </w:pPr>
            <w:r>
              <w:rPr>
                <w:sz w:val="20"/>
              </w:rPr>
              <w:t>greater increase in the intervention group</w:t>
            </w:r>
          </w:p>
        </w:tc>
      </w:tr>
    </w:tbl>
    <w:p w14:paraId="46B68383" w14:textId="77777777" w:rsidR="00762E5F" w:rsidRDefault="00762E5F" w:rsidP="00B34B59">
      <w:pPr>
        <w:spacing w:after="0" w:line="360" w:lineRule="auto"/>
      </w:pPr>
    </w:p>
    <w:p w14:paraId="62E00ED5" w14:textId="77777777" w:rsidR="00762E5F" w:rsidRPr="005430EF" w:rsidRDefault="00000000" w:rsidP="00B34B59">
      <w:pPr>
        <w:pStyle w:val="Heading3"/>
        <w:spacing w:after="0" w:line="360" w:lineRule="auto"/>
        <w:rPr>
          <w:color w:val="000000" w:themeColor="text1"/>
        </w:rPr>
      </w:pPr>
      <w:r w:rsidRPr="005430EF">
        <w:rPr>
          <w:rFonts w:ascii="Times New Roman" w:eastAsia="Times New Roman" w:hAnsi="Times New Roman"/>
          <w:color w:val="000000" w:themeColor="text1"/>
        </w:rPr>
        <w:t>3.4.4. Discussion and conclusions</w:t>
      </w:r>
    </w:p>
    <w:p w14:paraId="48A5DDD7" w14:textId="77777777" w:rsidR="00762E5F" w:rsidRDefault="003B7C52" w:rsidP="00B34B59">
      <w:pPr>
        <w:spacing w:after="0" w:line="360" w:lineRule="auto"/>
        <w:jc w:val="both"/>
      </w:pPr>
      <w:r>
        <w:tab/>
        <w:t xml:space="preserve">Study 4 provides preliminary support for the effectiveness of the </w:t>
      </w:r>
      <w:r>
        <w:rPr>
          <w:i/>
        </w:rPr>
        <w:t xml:space="preserve">Future Psychotherapists </w:t>
      </w:r>
      <w:r>
        <w:t xml:space="preserve">app as a training method for certain relational skills of trainee psychotherapists. Compared with an active VR control condition, the app produced greater improvements in the </w:t>
      </w:r>
      <w:r w:rsidRPr="003B7C52">
        <w:rPr>
          <w:i/>
          <w:iCs/>
        </w:rPr>
        <w:t>‘Task’</w:t>
      </w:r>
      <w:r>
        <w:t xml:space="preserve"> dimension of the therapeutic alliance and in </w:t>
      </w:r>
      <w:r w:rsidRPr="003B7C52">
        <w:rPr>
          <w:i/>
          <w:iCs/>
        </w:rPr>
        <w:t>cognitive empathy</w:t>
      </w:r>
      <w:r>
        <w:t>. These results are consistent with the nature of the app, which requires the user to identify appropriate therapeutic responses and understand the client’s perspective within a structured scenario.</w:t>
      </w:r>
    </w:p>
    <w:p w14:paraId="1E3C607E" w14:textId="77777777" w:rsidR="00762E5F" w:rsidRDefault="003B7C52" w:rsidP="00B34B59">
      <w:pPr>
        <w:spacing w:after="0" w:line="360" w:lineRule="auto"/>
        <w:jc w:val="both"/>
      </w:pPr>
      <w:r>
        <w:tab/>
        <w:t xml:space="preserve">The effect on the </w:t>
      </w:r>
      <w:r w:rsidRPr="003B7C52">
        <w:rPr>
          <w:i/>
          <w:iCs/>
        </w:rPr>
        <w:t>‘Task’</w:t>
      </w:r>
      <w:r>
        <w:t xml:space="preserve"> dimension suggests that the app may help future psychotherapists to recognise and practise responses that clarify therapeutic tasks and support collaboration during sessions. This interpretation is consistent with the conceptualisation of the therapeutic alliance as agreement on tasks, agreement on goals and interpersonal bond (Bordin, 1979). The fact that the </w:t>
      </w:r>
      <w:r w:rsidRPr="003B7C52">
        <w:rPr>
          <w:i/>
          <w:iCs/>
        </w:rPr>
        <w:t xml:space="preserve">Goal </w:t>
      </w:r>
      <w:r>
        <w:t xml:space="preserve">and </w:t>
      </w:r>
      <w:r w:rsidRPr="003B7C52">
        <w:rPr>
          <w:i/>
          <w:iCs/>
        </w:rPr>
        <w:t xml:space="preserve">Bond </w:t>
      </w:r>
      <w:r>
        <w:t xml:space="preserve">dimensions did not show distinct changes may be explained by their more complex nature, as agreement on goals and the development of the therapeutic bond involve negotiation, time and a more natural relationship. </w:t>
      </w:r>
      <w:r w:rsidR="005430EF">
        <w:t>It is also necessary to bear in mind that the statistical power was low.</w:t>
      </w:r>
    </w:p>
    <w:p w14:paraId="0D4E7E05" w14:textId="77777777" w:rsidR="00762E5F" w:rsidRDefault="003B7C52" w:rsidP="00B34B59">
      <w:pPr>
        <w:spacing w:after="0" w:line="360" w:lineRule="auto"/>
        <w:jc w:val="both"/>
      </w:pPr>
      <w:r>
        <w:tab/>
        <w:t>The finding regarding cognitive empathy is consistent with the idea that VR can support perspective-taking, particularly when the scenario requires the user to listen to the client, interpret their experience and choose a response. The literature on VR and empathy reports mixed effects, but suggests that VR can support certain components of empathy, particularly perspective-taking or affective responses, depending on the study design (Martingano et al., 2021; Ventura et al., 2020). The lack of effects for affective and associative empathy suggests that the development of these dimensions may require repeated exposure, more varied scenarios and more spontaneous interactions.</w:t>
      </w:r>
    </w:p>
    <w:p w14:paraId="17453ACB" w14:textId="77777777" w:rsidR="00762E5F" w:rsidRDefault="003B7C52" w:rsidP="00B34B59">
      <w:pPr>
        <w:spacing w:after="0" w:line="360" w:lineRule="auto"/>
        <w:jc w:val="both"/>
      </w:pPr>
      <w:r>
        <w:lastRenderedPageBreak/>
        <w:tab/>
        <w:t>Increases in therapeutic self-efficacy indicate that the training contributed to participants’ perception that they can better manage therapeutic tasks. This finding is important for early training, as trainee psychotherapists may experience anxiety and uncertainty regarding their own competencies. A safe, structured experience, together with the feedback received, can bolster professional confidence without exposing participants to the risks of a real clinical interaction.</w:t>
      </w:r>
    </w:p>
    <w:p w14:paraId="55ED4155" w14:textId="77777777" w:rsidR="00762E5F" w:rsidRDefault="003B7C52" w:rsidP="00B34B59">
      <w:pPr>
        <w:spacing w:after="0" w:line="360" w:lineRule="auto"/>
        <w:jc w:val="both"/>
      </w:pPr>
      <w:r>
        <w:tab/>
        <w:t xml:space="preserve">The effect on positive affect is relevant, as the control group also underwent a potentially enjoyable, nature-based VR experience. The literature shows that virtual natural environments can have effects on positive affect (Bolouki, 2024; Mostajeran et al., 2023), so the difference in favour of the </w:t>
      </w:r>
      <w:r>
        <w:rPr>
          <w:i/>
        </w:rPr>
        <w:t xml:space="preserve">Future Psychotherapists </w:t>
      </w:r>
      <w:r>
        <w:t>app suggests that specific elements of the training – practising therapeutic responses, feedback and a sense of progress – may contribute to an additional positive affective experience.</w:t>
      </w:r>
    </w:p>
    <w:p w14:paraId="09F02D94" w14:textId="77777777" w:rsidR="00762E5F" w:rsidRDefault="003B7C52" w:rsidP="00B34B59">
      <w:pPr>
        <w:spacing w:after="0" w:line="360" w:lineRule="auto"/>
        <w:jc w:val="both"/>
      </w:pPr>
      <w:r>
        <w:tab/>
        <w:t xml:space="preserve">The absence of moderation by presence is consistent with the mixed literature on the role of presence in VR. Presence may contribute to emotional arousal in some VR contexts, but is not necessarily directly associated with the outcome of the intervention (Ling et al., 2014; Price &amp; Anderson, 2007). In education and training, presence may coexist with high cognitive load or poorer learning outcomes, depending on the task design (Makransky et al., 2019; Yang et al., 2023). In the case of the </w:t>
      </w:r>
      <w:r>
        <w:rPr>
          <w:i/>
        </w:rPr>
        <w:t xml:space="preserve">Future Psychotherapists </w:t>
      </w:r>
      <w:r>
        <w:t>app, the effects appear more likely to be linked to the pedagogical structure, the therapeutic content of the decisions and the feedback than to the subjective level of presence.</w:t>
      </w:r>
    </w:p>
    <w:p w14:paraId="5E11361E" w14:textId="77777777" w:rsidR="00762E5F" w:rsidRDefault="003B7C52" w:rsidP="00B34B59">
      <w:pPr>
        <w:spacing w:after="0" w:line="360" w:lineRule="auto"/>
        <w:jc w:val="both"/>
      </w:pPr>
      <w:r>
        <w:tab/>
        <w:t>The main limitations of the study include the small sample size, the predominance of women, recruitment from a single faculty, the lack of data on age, the use of a single session, and assessment based exclusively on self-report. Furthermore, there were no follow-up measurements, which limits conclusions regarding the persistence of effects over time. Nevertheless, the study provides an initial controlled test of the application and supports its role as a complementary or second-line training method.</w:t>
      </w:r>
    </w:p>
    <w:p w14:paraId="5556154F" w14:textId="77777777" w:rsidR="00762E5F" w:rsidRDefault="00000000" w:rsidP="00B34B59">
      <w:pPr>
        <w:spacing w:after="0" w:line="360" w:lineRule="auto"/>
      </w:pPr>
      <w:r>
        <w:br w:type="page"/>
      </w:r>
    </w:p>
    <w:p w14:paraId="627C4D91" w14:textId="77777777" w:rsidR="00762E5F" w:rsidRPr="005430EF" w:rsidRDefault="00000000" w:rsidP="00B34B59">
      <w:pPr>
        <w:pStyle w:val="Heading1"/>
        <w:spacing w:after="0" w:line="360" w:lineRule="auto"/>
        <w:rPr>
          <w:color w:val="000000" w:themeColor="text1"/>
        </w:rPr>
      </w:pPr>
      <w:r w:rsidRPr="005430EF">
        <w:rPr>
          <w:rFonts w:ascii="Times New Roman" w:eastAsia="Times New Roman" w:hAnsi="Times New Roman"/>
          <w:color w:val="000000" w:themeColor="text1"/>
        </w:rPr>
        <w:lastRenderedPageBreak/>
        <w:t>CHAPTER IV. GENERAL DISCUSSION: CONCLUSIONS AND IMPLICATIONS</w:t>
      </w:r>
    </w:p>
    <w:p w14:paraId="55B893A8" w14:textId="77777777" w:rsidR="00762E5F" w:rsidRPr="005430EF" w:rsidRDefault="00000000" w:rsidP="00B34B59">
      <w:pPr>
        <w:pStyle w:val="Heading2"/>
        <w:spacing w:after="0" w:line="360" w:lineRule="auto"/>
        <w:rPr>
          <w:color w:val="000000" w:themeColor="text1"/>
        </w:rPr>
      </w:pPr>
      <w:r w:rsidRPr="005430EF">
        <w:rPr>
          <w:rFonts w:ascii="Times New Roman" w:eastAsia="Times New Roman" w:hAnsi="Times New Roman"/>
          <w:color w:val="000000" w:themeColor="text1"/>
        </w:rPr>
        <w:t>4.1. General conclusions</w:t>
      </w:r>
    </w:p>
    <w:p w14:paraId="25058806" w14:textId="77777777" w:rsidR="00762E5F" w:rsidRDefault="003B7C52" w:rsidP="00B34B59">
      <w:pPr>
        <w:spacing w:after="0" w:line="360" w:lineRule="auto"/>
        <w:jc w:val="both"/>
      </w:pPr>
      <w:r>
        <w:tab/>
        <w:t xml:space="preserve">The overall objective of the thesis was to develop and empirically evaluate a virtual reality application for training </w:t>
      </w:r>
      <w:r w:rsidR="00754EC1">
        <w:t>therapeutic relationship</w:t>
      </w:r>
      <w:r>
        <w:t xml:space="preserve"> skills in trainee psychotherapists. The four studies were organised sequentially and addressed complementary needs: synthesising the evidence on VR and positive affect, developing and initially testing the application, adapting a measure of presence, and conducting a controlled trial to test the application’s efficacy.</w:t>
      </w:r>
    </w:p>
    <w:p w14:paraId="6040088C" w14:textId="77777777" w:rsidR="00762E5F" w:rsidRDefault="003B7C52" w:rsidP="00B34B59">
      <w:pPr>
        <w:spacing w:after="0" w:line="360" w:lineRule="auto"/>
        <w:jc w:val="both"/>
      </w:pPr>
      <w:r>
        <w:tab/>
        <w:t xml:space="preserve">Study 1 showed that VR-based psychological interventions produce small but robust increases in positive affect compared with non-VR conditions. Study 2 showed that the </w:t>
      </w:r>
      <w:r>
        <w:rPr>
          <w:i/>
        </w:rPr>
        <w:t xml:space="preserve">Future Psychotherapists </w:t>
      </w:r>
      <w:r>
        <w:t xml:space="preserve">app is feasible and usable. Study 3 provided initial evidence regarding the reliability and validity of the Romanian version of </w:t>
      </w:r>
      <w:r>
        <w:rPr>
          <w:i/>
        </w:rPr>
        <w:t>the ITC-SOPI</w:t>
      </w:r>
      <w:r>
        <w:t>. Study 4 showed that the app produces greater improvements than an active VR control in cognitive empathy, the ‘Task’ dimension of the therapeutic alliance, therapeutic self-efficacy and positive affect.</w:t>
      </w:r>
    </w:p>
    <w:p w14:paraId="1394CFCF" w14:textId="77777777" w:rsidR="00762E5F" w:rsidRDefault="003B7C52" w:rsidP="00B34B59">
      <w:pPr>
        <w:spacing w:after="0" w:line="360" w:lineRule="auto"/>
        <w:jc w:val="both"/>
      </w:pPr>
      <w:r>
        <w:tab/>
        <w:t>Overall, the results support the idea that VR can be integrated into the training of future psychotherapists as a complementary tool, not as a substitute for supervision, role-play, standardised patients or direct clinical practice. This interpretation is consistent with the literature highlighting the importance of experiential methods, active learning, consultation and feedback in the training of psychotherapists (Beidas &amp; Kendall, 2010; Frank et al., 2020; Rønning &amp; Bjørkly, 2019). The app can bridge the gap between the theory taught in lectures and the practical situations in which trainee psychotherapists must formulate appropriate therapeutic responses.</w:t>
      </w:r>
    </w:p>
    <w:p w14:paraId="4EF4EFB8" w14:textId="77777777" w:rsidR="00762E5F" w:rsidRDefault="00732FBA" w:rsidP="00B34B59">
      <w:pPr>
        <w:spacing w:after="0" w:line="360" w:lineRule="auto"/>
        <w:jc w:val="both"/>
      </w:pPr>
      <w:r>
        <w:tab/>
        <w:t xml:space="preserve">An important conclusion is that the clearest effects are observed in more cognitive and structured skills: understanding the therapeutic task and cognitive empathy. The ‘Task’ dimension forms part of the classical conceptualisation of the therapeutic alliance (Bordin, 1979), whilst cognitive empathy is one of the dimensions of empathy </w:t>
      </w:r>
      <w:r w:rsidR="00754EC1">
        <w:t xml:space="preserve">as </w:t>
      </w:r>
      <w:r>
        <w:t xml:space="preserve">a state, as measured by </w:t>
      </w:r>
      <w:r>
        <w:rPr>
          <w:i/>
        </w:rPr>
        <w:t xml:space="preserve">the State Empathy Scale </w:t>
      </w:r>
      <w:r>
        <w:t>(Shen, 2010). Deeper dimensions of the relationship, such as the therapeutic bond or affective empathy, may require repeated exposure, more natural relationships and more complex learning contexts.</w:t>
      </w:r>
    </w:p>
    <w:p w14:paraId="259D568A" w14:textId="77777777" w:rsidR="00762E5F" w:rsidRPr="00732FBA" w:rsidRDefault="00000000" w:rsidP="00B34B59">
      <w:pPr>
        <w:pStyle w:val="Heading2"/>
        <w:spacing w:after="0" w:line="360" w:lineRule="auto"/>
        <w:rPr>
          <w:color w:val="000000" w:themeColor="text1"/>
        </w:rPr>
      </w:pPr>
      <w:r w:rsidRPr="00732FBA">
        <w:rPr>
          <w:rFonts w:ascii="Times New Roman" w:eastAsia="Times New Roman" w:hAnsi="Times New Roman"/>
          <w:color w:val="000000" w:themeColor="text1"/>
        </w:rPr>
        <w:t>4.2. Theoretical and conceptual implications</w:t>
      </w:r>
    </w:p>
    <w:p w14:paraId="200DA6CE" w14:textId="77777777" w:rsidR="00762E5F" w:rsidRDefault="00732FBA" w:rsidP="00B34B59">
      <w:pPr>
        <w:spacing w:after="0" w:line="360" w:lineRule="auto"/>
        <w:jc w:val="both"/>
      </w:pPr>
      <w:r>
        <w:tab/>
        <w:t xml:space="preserve">The first theoretical implication of this thesis is the reconceptualisation of therapeutic relationship skills as competencies that can be practised in structured settings. Empathy and the therapeutic alliance are not merely personal traits or general qualities of the therapist, but </w:t>
      </w:r>
      <w:r>
        <w:lastRenderedPageBreak/>
        <w:t xml:space="preserve">encompass behaviours, choices, responses and processes that can be trained. The importance of these competencies is supported by the literature, which links them to the outcomes of psychotherapy (Elliott et al., 2018; Flückiger et al., 2018). The </w:t>
      </w:r>
      <w:r>
        <w:rPr>
          <w:i/>
        </w:rPr>
        <w:t xml:space="preserve">Future Psychotherapists </w:t>
      </w:r>
      <w:r>
        <w:t>application has operationalised these competencies in the form of decision nodes, each requiring the selection of a therapeutic response.</w:t>
      </w:r>
    </w:p>
    <w:p w14:paraId="46C4E8EE" w14:textId="77777777" w:rsidR="00762E5F" w:rsidRDefault="00732FBA" w:rsidP="00B34B59">
      <w:pPr>
        <w:spacing w:after="0" w:line="360" w:lineRule="auto"/>
        <w:jc w:val="both"/>
      </w:pPr>
      <w:r>
        <w:tab/>
        <w:t xml:space="preserve">The second implication is the differentiation between the components of the therapeutic relationship based on their susceptibility to short-term training. The results show that the ‘Task’ dimension of the therapeutic alliance and cognitive empathy can be influenced by a structured session. This distinction is consistent with the fact that ‘Task’ is a specific component of the therapeutic alliance (Bordin, 1979), whilst cognitive empathy is a dimension of empathy </w:t>
      </w:r>
      <w:r w:rsidR="004B04D3">
        <w:t xml:space="preserve">as </w:t>
      </w:r>
      <w:r>
        <w:t>a state (Shen, 2010). Dimensions such as ‘Goal’, ‘Bond’ or affective empathy may require gradual development, repeated exposure and more natural clinical interactions.</w:t>
      </w:r>
    </w:p>
    <w:p w14:paraId="0B28BFDE" w14:textId="77777777" w:rsidR="00762E5F" w:rsidRDefault="00732FBA" w:rsidP="00B34B59">
      <w:pPr>
        <w:spacing w:after="0" w:line="360" w:lineRule="auto"/>
        <w:jc w:val="both"/>
      </w:pPr>
      <w:r>
        <w:tab/>
        <w:t>The third implication concerns the role of virtual reality in psychology. The thesis takes a balanced view: VR is not effective simply because of its novelty or immersion, but rather when it is integrated into an evidence-based training framework. The key elements are not just realism or technology, but also the structure of the scenario, the clinical relevance of decisions, feedback and the possibility of repetition. This position is consistent with the literature on the fit between task and technology, instructional design and feedback in VR (Howard et al., 2021; Oje et al., 2025; Tusher et al., 2024).</w:t>
      </w:r>
    </w:p>
    <w:p w14:paraId="35554D1D" w14:textId="77777777" w:rsidR="00762E5F" w:rsidRDefault="00732FBA" w:rsidP="00B34B59">
      <w:pPr>
        <w:spacing w:after="0" w:line="360" w:lineRule="auto"/>
        <w:jc w:val="both"/>
      </w:pPr>
      <w:r>
        <w:tab/>
        <w:t>The fourth implication concerns presence. Although presence is important for evaluating the VR experience, the findings of this thesis do not support the idea that presence is automatically the primary mechanism for change in training. This conclusion is consistent with the literature, which shows that the role of presence in VR interventions and training is mixed and should be interpreted with caution (Ling et al., 2014; Makransky et al., 2019; Price &amp; Anderson, 2007; Yang et al., 2023). In educational applications, outcomes may depend more on instructional design than on the intensity of the sense of ‘being there’.</w:t>
      </w:r>
    </w:p>
    <w:p w14:paraId="247C247C" w14:textId="77777777" w:rsidR="00762E5F" w:rsidRPr="00732FBA" w:rsidRDefault="00000000" w:rsidP="00B34B59">
      <w:pPr>
        <w:pStyle w:val="Heading2"/>
        <w:spacing w:after="0" w:line="360" w:lineRule="auto"/>
        <w:rPr>
          <w:color w:val="000000" w:themeColor="text1"/>
        </w:rPr>
      </w:pPr>
      <w:r w:rsidRPr="00732FBA">
        <w:rPr>
          <w:rFonts w:ascii="Times New Roman" w:eastAsia="Times New Roman" w:hAnsi="Times New Roman"/>
          <w:color w:val="000000" w:themeColor="text1"/>
        </w:rPr>
        <w:t>4.3. Clinical and practical implications</w:t>
      </w:r>
    </w:p>
    <w:p w14:paraId="49905F72" w14:textId="77777777" w:rsidR="00762E5F" w:rsidRDefault="00732FBA" w:rsidP="00B34B59">
      <w:pPr>
        <w:spacing w:after="0" w:line="360" w:lineRule="auto"/>
        <w:jc w:val="both"/>
      </w:pPr>
      <w:r>
        <w:tab/>
        <w:t xml:space="preserve">From a practical perspective, the </w:t>
      </w:r>
      <w:r>
        <w:rPr>
          <w:i/>
        </w:rPr>
        <w:t xml:space="preserve">Future Psychotherapists </w:t>
      </w:r>
      <w:r>
        <w:t xml:space="preserve">app can be used in training programmes as a supplementary tool for practising therapeutic responses. It can be integrated into practical seminars, psychotherapy workshops, psychological counselling courses, introductory </w:t>
      </w:r>
      <w:r>
        <w:lastRenderedPageBreak/>
        <w:t>practical modules or supervision settings where students require gradual preparation before direct contact with real clients.</w:t>
      </w:r>
    </w:p>
    <w:p w14:paraId="42AA6D4F" w14:textId="77777777" w:rsidR="00762E5F" w:rsidRDefault="00732FBA" w:rsidP="00B34B59">
      <w:pPr>
        <w:spacing w:after="0" w:line="360" w:lineRule="auto"/>
        <w:jc w:val="both"/>
      </w:pPr>
      <w:r>
        <w:tab/>
        <w:t>The practical advantage of the application lies in its standardisation. All users encounter the same scenario, the same virtual client, the same decision points and the same feedback system. This allows for the comparison of performance, the identification of common difficulties and the repetition of the scenario without the variability typical of traditional role-play exercises. Furthermore, users can make mistakes without clinical consequences, which can reduce performance anxiety and encourage learning.</w:t>
      </w:r>
    </w:p>
    <w:p w14:paraId="1F3041D3" w14:textId="77777777" w:rsidR="00762E5F" w:rsidRDefault="00732FBA" w:rsidP="00B34B59">
      <w:pPr>
        <w:spacing w:after="0" w:line="360" w:lineRule="auto"/>
        <w:jc w:val="both"/>
      </w:pPr>
      <w:r>
        <w:tab/>
        <w:t>The app is particularly relevant for the early stages of training, when students are familiar with psychotherapeutic concepts but lack sufficient experience to apply them spontaneously in clinical interactions. Through the feedback it provides, the app can help clarify the difference between a less appropriate response and a more suitable therapeutic response. In this way, it can support the development of more structured clinical thinking.</w:t>
      </w:r>
    </w:p>
    <w:p w14:paraId="1959F221" w14:textId="77777777" w:rsidR="00762E5F" w:rsidRDefault="000F313E" w:rsidP="00B34B59">
      <w:pPr>
        <w:spacing w:after="0" w:line="360" w:lineRule="auto"/>
        <w:jc w:val="both"/>
      </w:pPr>
      <w:r>
        <w:tab/>
        <w:t>However, practical implications must be formulated with caution. The app does not replace the live relationship with a real client, does not fully replicate the emotional complexity of an authentic session, and cannot substitute for supervision. It should be understood as a complementary method, useful for training, familiarisation, initial practice and the development of basic responses.</w:t>
      </w:r>
    </w:p>
    <w:p w14:paraId="2AAA917D" w14:textId="77777777" w:rsidR="00762E5F" w:rsidRPr="00C07588" w:rsidRDefault="00000000" w:rsidP="00B34B59">
      <w:pPr>
        <w:pStyle w:val="Heading2"/>
        <w:spacing w:after="0" w:line="360" w:lineRule="auto"/>
        <w:rPr>
          <w:color w:val="000000" w:themeColor="text1"/>
        </w:rPr>
      </w:pPr>
      <w:r w:rsidRPr="00C07588">
        <w:rPr>
          <w:rFonts w:ascii="Times New Roman" w:eastAsia="Times New Roman" w:hAnsi="Times New Roman"/>
          <w:color w:val="000000" w:themeColor="text1"/>
        </w:rPr>
        <w:t>4.4. Methodological innovations</w:t>
      </w:r>
    </w:p>
    <w:p w14:paraId="6C9C3668" w14:textId="77777777" w:rsidR="00762E5F" w:rsidRDefault="000F313E" w:rsidP="00B34B59">
      <w:pPr>
        <w:spacing w:after="0" w:line="360" w:lineRule="auto"/>
        <w:jc w:val="both"/>
      </w:pPr>
      <w:r>
        <w:tab/>
        <w:t xml:space="preserve">This thesis makes two main methodological contributions. The first is the development of </w:t>
      </w:r>
      <w:r>
        <w:rPr>
          <w:i/>
        </w:rPr>
        <w:t xml:space="preserve">the ‘Future Psychotherapists’ </w:t>
      </w:r>
      <w:r>
        <w:t>app, a VR relational training tool built around a clinical scenario, featuring decision points and feedback. The app combines elements of simulation, active learning, and summative and formative assessment. It differs from VR applications generally geared towards empathy in that it is explicitly designed for the training of future psychotherapists and focuses on empathy and the therapeutic alliance within the context of a psychotherapeutic interaction.</w:t>
      </w:r>
    </w:p>
    <w:p w14:paraId="3FE0375B" w14:textId="77777777" w:rsidR="00762E5F" w:rsidRDefault="000F313E" w:rsidP="00B34B59">
      <w:pPr>
        <w:spacing w:after="0" w:line="360" w:lineRule="auto"/>
        <w:jc w:val="both"/>
      </w:pPr>
      <w:r>
        <w:tab/>
        <w:t xml:space="preserve">The second methodological contribution is the adaptation of the Romanian version of </w:t>
      </w:r>
      <w:r>
        <w:rPr>
          <w:i/>
        </w:rPr>
        <w:t>the ITC-SOPI (Lessiter et al., 2001)</w:t>
      </w:r>
      <w:r>
        <w:t xml:space="preserve">. The availability of a standardised instrument for measuring presence and negative effects enables Romanian researchers to evaluate VR applications more rigorously and to compare results across studies. This contribution extends beyond the strict framework of the </w:t>
      </w:r>
      <w:r>
        <w:rPr>
          <w:i/>
        </w:rPr>
        <w:t xml:space="preserve">Future Psychotherapists </w:t>
      </w:r>
      <w:r>
        <w:t>application and may be useful for future research in clinical psychology, education, training and the development of immersive technologies.</w:t>
      </w:r>
    </w:p>
    <w:p w14:paraId="17B87667" w14:textId="77777777" w:rsidR="00762E5F" w:rsidRDefault="000F313E" w:rsidP="00B34B59">
      <w:pPr>
        <w:spacing w:after="0" w:line="360" w:lineRule="auto"/>
        <w:jc w:val="both"/>
      </w:pPr>
      <w:r>
        <w:lastRenderedPageBreak/>
        <w:tab/>
        <w:t>Another innovation lies in the sequential logic of the research. The study did not proceed directly to testing efficacy, but instead progressively built up the empirical basis: meta-analysis, development and feasibility, instrument adaptation, and a pilot RCT. This approach is important for research into digital interventions, where there is often a risk of prematurely testing technologies that are insufficiently validated or lack a solid theoretical foundation.</w:t>
      </w:r>
    </w:p>
    <w:p w14:paraId="1AA306D1" w14:textId="77777777" w:rsidR="00762E5F" w:rsidRPr="00C07588" w:rsidRDefault="00000000" w:rsidP="00B34B59">
      <w:pPr>
        <w:pStyle w:val="Heading2"/>
        <w:spacing w:after="0" w:line="360" w:lineRule="auto"/>
        <w:rPr>
          <w:color w:val="000000" w:themeColor="text1"/>
        </w:rPr>
      </w:pPr>
      <w:r w:rsidRPr="00C07588">
        <w:rPr>
          <w:rFonts w:ascii="Times New Roman" w:eastAsia="Times New Roman" w:hAnsi="Times New Roman"/>
          <w:color w:val="000000" w:themeColor="text1"/>
        </w:rPr>
        <w:t>4.5. Limitations and future directions</w:t>
      </w:r>
    </w:p>
    <w:p w14:paraId="7B4938A5" w14:textId="77777777" w:rsidR="00762E5F" w:rsidRDefault="000F313E" w:rsidP="00B34B59">
      <w:pPr>
        <w:spacing w:after="0" w:line="360" w:lineRule="auto"/>
        <w:jc w:val="both"/>
      </w:pPr>
      <w:r>
        <w:tab/>
        <w:t>The thesis has several limitations. The first limitation is the relatively small size of the empirical samples, particularly in Study 4, where the randomised controlled pilot study included 40 participants. Although such sample sizes are common in pilot studies, they limit statistical power and generalisability. Future studies should include larger samples, recruited from multiple university centres and from different training programmes.</w:t>
      </w:r>
    </w:p>
    <w:p w14:paraId="430EFF0A" w14:textId="77777777" w:rsidR="00762E5F" w:rsidRDefault="000F313E" w:rsidP="00B34B59">
      <w:pPr>
        <w:spacing w:after="0" w:line="360" w:lineRule="auto"/>
        <w:jc w:val="both"/>
      </w:pPr>
      <w:r>
        <w:tab/>
        <w:t>A second limitation is the composition of the samples, characterised by a predominance of women and the recruitment of mainly psychology students. This composition partly reflects the demographic reality of psychology programmes, but limits the analysis of differences based on gender, age, level of experience and career path. In Studies 3 and 4, participants’ ages were not recorded, which limits the description of the samples and the exploration of potential age-related differences.</w:t>
      </w:r>
    </w:p>
    <w:p w14:paraId="315AE818" w14:textId="77777777" w:rsidR="00762E5F" w:rsidRDefault="000F313E" w:rsidP="00B34B59">
      <w:pPr>
        <w:spacing w:after="0" w:line="360" w:lineRule="auto"/>
        <w:jc w:val="both"/>
      </w:pPr>
      <w:r>
        <w:tab/>
        <w:t xml:space="preserve">A third limitation concerns the duration of the intervention. The app was tested in a single session, which allows for the assessment of immediate effects but does not show whether the changes are sustained or whether they are amplified through repetition. The therapeutic relationship develops over time, and skills such as </w:t>
      </w:r>
      <w:r w:rsidR="00C07588">
        <w:t xml:space="preserve">forming an emotional bond </w:t>
      </w:r>
      <w:r>
        <w:t>or emotional empathy may require repeated training, additional feedback and multiple scenarios.</w:t>
      </w:r>
    </w:p>
    <w:p w14:paraId="0786A2CF" w14:textId="77777777" w:rsidR="00762E5F" w:rsidRDefault="000F313E" w:rsidP="00B34B59">
      <w:pPr>
        <w:spacing w:after="0" w:line="360" w:lineRule="auto"/>
        <w:jc w:val="both"/>
      </w:pPr>
      <w:r>
        <w:tab/>
        <w:t>The fourth limitation is the exclusive use of self-reporting for the primary outcomes in Study 4. Although the questionnaires used are relevant, they capture the participant’s perception, not observed performance. Future research should include behavioural assessments, ratings by independent observers, analyses of verbal responses and perhaps even performance indicators integrated into the application.</w:t>
      </w:r>
    </w:p>
    <w:p w14:paraId="53209A9E" w14:textId="77777777" w:rsidR="00762E5F" w:rsidRDefault="000F313E" w:rsidP="00B34B59">
      <w:pPr>
        <w:spacing w:after="0" w:line="360" w:lineRule="auto"/>
        <w:jc w:val="both"/>
      </w:pPr>
      <w:r>
        <w:tab/>
        <w:t xml:space="preserve">The fifth limitation concerns generalisation to real-world clinical practice. The fact that participants showed improvements following a VR experience does not guarantee direct transfer to authentic interactions with clients. Future studies should examine the transfer of skills through </w:t>
      </w:r>
      <w:r>
        <w:lastRenderedPageBreak/>
        <w:t>standardised role-play tasks, assessments under supervision, or observations in controlled clinical contexts.</w:t>
      </w:r>
    </w:p>
    <w:p w14:paraId="24D87AD0" w14:textId="77777777" w:rsidR="00762E5F" w:rsidRDefault="00000000" w:rsidP="00B34B59">
      <w:pPr>
        <w:spacing w:after="0" w:line="360" w:lineRule="auto"/>
        <w:jc w:val="both"/>
      </w:pPr>
      <w:r>
        <w:t>Future directions include the development of multiple scenarios, featuring different virtual clients, varying levels of difficulty and diverse types of clinical problems. The application could incorporate more explicit textual feedback, explanations of correct responses, progress tracking and separate modules for empathy, therapeutic alliance, breaches of the alliance and their repair.</w:t>
      </w:r>
    </w:p>
    <w:p w14:paraId="1FEC481E" w14:textId="77777777" w:rsidR="00762E5F" w:rsidRDefault="000F313E" w:rsidP="00B34B59">
      <w:pPr>
        <w:spacing w:after="0" w:line="360" w:lineRule="auto"/>
        <w:jc w:val="both"/>
      </w:pPr>
      <w:r>
        <w:tab/>
        <w:t>Furthermore, larger, randomised controlled trials with follow-up are needed, comparing the app not only with an active VR control but also with traditional training methods, such as role-play, video feedback or standardised patients. Such research could clarify the app’s place within the training curriculum: as initial training, as a seminar aid, as a tool for individual practice, or as a method integrated into supervision.</w:t>
      </w:r>
    </w:p>
    <w:p w14:paraId="46977679" w14:textId="77777777" w:rsidR="00762E5F" w:rsidRDefault="000F313E" w:rsidP="00B34B59">
      <w:pPr>
        <w:spacing w:after="0" w:line="360" w:lineRule="auto"/>
        <w:jc w:val="both"/>
      </w:pPr>
      <w:r>
        <w:tab/>
        <w:t xml:space="preserve">In conclusion, the thesis provides preliminary evidence that virtual reality can be used to train certain components of the therapeutic relationship in trainee psychotherapists. The </w:t>
      </w:r>
      <w:r>
        <w:rPr>
          <w:i/>
        </w:rPr>
        <w:t xml:space="preserve">Future Psychotherapists </w:t>
      </w:r>
      <w:r>
        <w:t>app appears to be a promising tool, particularly for developing cognitive empathy, the ‘Task’ dimension of the therapeutic alliance, self-efficacy and positive affect. At the same time, the results support a realistic view: VR can complement the training of psychotherapists, but cannot replace it. Its value depends on careful integration into an educational framework based on evidence, feedback and supervision.</w:t>
      </w:r>
    </w:p>
    <w:p w14:paraId="3BA8D60D" w14:textId="77777777" w:rsidR="004B04D3" w:rsidRDefault="004B04D3" w:rsidP="00B34B59">
      <w:pPr>
        <w:spacing w:after="0" w:line="360" w:lineRule="auto"/>
        <w:jc w:val="both"/>
      </w:pPr>
    </w:p>
    <w:p w14:paraId="57287F3F" w14:textId="77777777" w:rsidR="004B04D3" w:rsidRDefault="004B04D3" w:rsidP="00B34B59">
      <w:pPr>
        <w:spacing w:after="0" w:line="360" w:lineRule="auto"/>
        <w:jc w:val="both"/>
      </w:pPr>
    </w:p>
    <w:p w14:paraId="47A67B83" w14:textId="77777777" w:rsidR="004B04D3" w:rsidRDefault="004B04D3" w:rsidP="00B34B59">
      <w:pPr>
        <w:spacing w:after="0" w:line="360" w:lineRule="auto"/>
        <w:jc w:val="both"/>
      </w:pPr>
    </w:p>
    <w:p w14:paraId="58DD3272" w14:textId="77777777" w:rsidR="000F313E" w:rsidRDefault="000F313E" w:rsidP="00B34B59">
      <w:pPr>
        <w:spacing w:after="0" w:line="360" w:lineRule="auto"/>
        <w:jc w:val="both"/>
      </w:pPr>
    </w:p>
    <w:p w14:paraId="38E521CC" w14:textId="77777777" w:rsidR="000F313E" w:rsidRDefault="000F313E" w:rsidP="00B34B59">
      <w:pPr>
        <w:spacing w:after="0" w:line="360" w:lineRule="auto"/>
        <w:jc w:val="both"/>
      </w:pPr>
    </w:p>
    <w:p w14:paraId="494E558B" w14:textId="77777777" w:rsidR="000F313E" w:rsidRDefault="000F313E" w:rsidP="00B34B59">
      <w:pPr>
        <w:spacing w:after="0" w:line="360" w:lineRule="auto"/>
        <w:jc w:val="both"/>
      </w:pPr>
    </w:p>
    <w:p w14:paraId="5D348571" w14:textId="77777777" w:rsidR="000F313E" w:rsidRDefault="000F313E" w:rsidP="00B34B59">
      <w:pPr>
        <w:spacing w:after="0" w:line="360" w:lineRule="auto"/>
        <w:jc w:val="both"/>
      </w:pPr>
    </w:p>
    <w:p w14:paraId="42F038FC" w14:textId="77777777" w:rsidR="000F313E" w:rsidRDefault="000F313E" w:rsidP="00B34B59">
      <w:pPr>
        <w:spacing w:after="0" w:line="360" w:lineRule="auto"/>
        <w:jc w:val="both"/>
      </w:pPr>
    </w:p>
    <w:p w14:paraId="14C6FBD5" w14:textId="77777777" w:rsidR="000F313E" w:rsidRDefault="000F313E" w:rsidP="00B34B59">
      <w:pPr>
        <w:spacing w:after="0" w:line="360" w:lineRule="auto"/>
        <w:jc w:val="both"/>
      </w:pPr>
    </w:p>
    <w:p w14:paraId="30B7DD84" w14:textId="77777777" w:rsidR="000F313E" w:rsidRDefault="000F313E" w:rsidP="00B34B59">
      <w:pPr>
        <w:spacing w:after="0" w:line="360" w:lineRule="auto"/>
        <w:jc w:val="both"/>
      </w:pPr>
    </w:p>
    <w:p w14:paraId="18B9E134" w14:textId="77777777" w:rsidR="000F313E" w:rsidRDefault="000F313E" w:rsidP="00B34B59">
      <w:pPr>
        <w:spacing w:after="0" w:line="360" w:lineRule="auto"/>
        <w:jc w:val="both"/>
      </w:pPr>
    </w:p>
    <w:p w14:paraId="2E014FF9" w14:textId="77777777" w:rsidR="000F313E" w:rsidRDefault="000F313E" w:rsidP="00B34B59">
      <w:pPr>
        <w:spacing w:after="0" w:line="360" w:lineRule="auto"/>
        <w:jc w:val="both"/>
      </w:pPr>
    </w:p>
    <w:p w14:paraId="0365D342" w14:textId="77777777" w:rsidR="000F313E" w:rsidRDefault="000F313E" w:rsidP="00B34B59">
      <w:pPr>
        <w:spacing w:after="0" w:line="360" w:lineRule="auto"/>
        <w:jc w:val="both"/>
      </w:pPr>
    </w:p>
    <w:p w14:paraId="74664F9C" w14:textId="77777777" w:rsidR="000F313E" w:rsidRDefault="000F313E" w:rsidP="00B34B59">
      <w:pPr>
        <w:spacing w:after="0" w:line="360" w:lineRule="auto"/>
        <w:jc w:val="both"/>
      </w:pPr>
    </w:p>
    <w:p w14:paraId="1408FC33" w14:textId="77777777" w:rsidR="000F313E" w:rsidRDefault="000F313E" w:rsidP="00B34B59">
      <w:pPr>
        <w:spacing w:after="0" w:line="360" w:lineRule="auto"/>
        <w:jc w:val="both"/>
      </w:pPr>
    </w:p>
    <w:p w14:paraId="37BFF2FD" w14:textId="77777777" w:rsidR="000F313E" w:rsidRDefault="000F313E" w:rsidP="00B34B59">
      <w:pPr>
        <w:spacing w:after="0" w:line="360" w:lineRule="auto"/>
        <w:jc w:val="both"/>
      </w:pPr>
    </w:p>
    <w:p w14:paraId="59D9B22B" w14:textId="77777777" w:rsidR="000F313E" w:rsidRDefault="000F313E" w:rsidP="00B34B59">
      <w:pPr>
        <w:spacing w:after="0" w:line="360" w:lineRule="auto"/>
        <w:jc w:val="both"/>
      </w:pPr>
    </w:p>
    <w:p w14:paraId="0F9508CB" w14:textId="77777777" w:rsidR="000F313E" w:rsidRDefault="000F313E" w:rsidP="00B34B59">
      <w:pPr>
        <w:spacing w:after="0" w:line="360" w:lineRule="auto"/>
        <w:jc w:val="both"/>
      </w:pPr>
    </w:p>
    <w:p w14:paraId="637F202C" w14:textId="77777777" w:rsidR="000F313E" w:rsidRDefault="000F313E" w:rsidP="00B34B59">
      <w:pPr>
        <w:spacing w:after="0" w:line="360" w:lineRule="auto"/>
        <w:jc w:val="both"/>
      </w:pPr>
    </w:p>
    <w:p w14:paraId="1F021C51" w14:textId="77777777" w:rsidR="00762E5F" w:rsidRPr="000F313E" w:rsidRDefault="00000000" w:rsidP="00B34B59">
      <w:pPr>
        <w:pStyle w:val="Heading1"/>
        <w:spacing w:after="0" w:line="360" w:lineRule="auto"/>
        <w:rPr>
          <w:color w:val="000000" w:themeColor="text1"/>
        </w:rPr>
      </w:pPr>
      <w:r w:rsidRPr="000F313E">
        <w:rPr>
          <w:rFonts w:ascii="Times New Roman" w:eastAsia="Times New Roman" w:hAnsi="Times New Roman"/>
          <w:color w:val="000000" w:themeColor="text1"/>
        </w:rPr>
        <w:t>SELECTED REFERENCES</w:t>
      </w:r>
    </w:p>
    <w:p w14:paraId="1874846A" w14:textId="77777777" w:rsidR="0071428E" w:rsidRDefault="0071428E" w:rsidP="0071428E">
      <w:pPr>
        <w:spacing w:after="0" w:line="360" w:lineRule="auto"/>
        <w:ind w:left="283" w:hanging="283"/>
        <w:jc w:val="both"/>
      </w:pPr>
      <w:r>
        <w:t>American Psychological Association. (2023). Empathy. In APA Dictionary of Psychology. https://dictionary.apa.org/empathy</w:t>
      </w:r>
    </w:p>
    <w:p w14:paraId="490888C9" w14:textId="77777777" w:rsidR="0071428E" w:rsidRDefault="0071428E" w:rsidP="0071428E">
      <w:pPr>
        <w:spacing w:after="0" w:line="360" w:lineRule="auto"/>
        <w:ind w:left="283" w:hanging="283"/>
        <w:jc w:val="both"/>
      </w:pPr>
      <w:r>
        <w:t>Aromataris, E., &amp; Munn, Z. (Eds.). (2020). JBI manual for evidence synthesis. JBI.</w:t>
      </w:r>
    </w:p>
    <w:p w14:paraId="67745C49" w14:textId="77777777" w:rsidR="0071428E" w:rsidRDefault="0071428E" w:rsidP="0071428E">
      <w:pPr>
        <w:spacing w:after="0" w:line="360" w:lineRule="auto"/>
        <w:ind w:left="283" w:hanging="283"/>
        <w:jc w:val="both"/>
      </w:pPr>
      <w:r>
        <w:t>Barnes-Horowitz, N. M., Metts, A., Rosenfield, D., Yarrington, J. S., Treanor, M., Echiverri-Cohen, A., Ritz, T., Meuret, A. E., &amp; Craske, M. G. (2024). Changes in positive and negative affect in psychotherapy for depression and anxiety. Journal of Consulting and Clinical Psychology, 92(4), 249–259. https://doi.org/10.1037/ccp0000865</w:t>
      </w:r>
    </w:p>
    <w:p w14:paraId="7605517B" w14:textId="77777777" w:rsidR="0071428E" w:rsidRDefault="0071428E" w:rsidP="0071428E">
      <w:pPr>
        <w:spacing w:after="0" w:line="360" w:lineRule="auto"/>
        <w:ind w:left="283" w:hanging="283"/>
        <w:jc w:val="both"/>
      </w:pPr>
      <w:r>
        <w:t>Beidas, R. S., &amp; Kendall, P. C. (2010). Training therapists in evidence-based practice: A critical review of studies from a systems-contextual perspective. Clinical Psychology: Science and Practice, 17(1), 1–30. https://doi.org/10.1111/j.1468-2850.2009.01187.x</w:t>
      </w:r>
    </w:p>
    <w:p w14:paraId="4513CA47" w14:textId="77777777" w:rsidR="0071428E" w:rsidRDefault="0071428E" w:rsidP="0071428E">
      <w:pPr>
        <w:spacing w:after="0" w:line="360" w:lineRule="auto"/>
        <w:ind w:left="283" w:hanging="283"/>
        <w:jc w:val="both"/>
      </w:pPr>
      <w:r>
        <w:t>Bell, I. H., Nicholas, J., Alvarez-Jimenez, M., Thompson, A., &amp; Valmaggia, L. (2020). Virtual reality as a clinical tool in mental health research and practice. Dialogues in Clinical Neuroscience, 22(2), 169–177. https://doi.org/10.31887/DCNS.2020.22.2/lvalmaggia</w:t>
      </w:r>
    </w:p>
    <w:p w14:paraId="2343E388" w14:textId="77777777" w:rsidR="0071428E" w:rsidRDefault="0071428E" w:rsidP="0071428E">
      <w:pPr>
        <w:spacing w:after="0" w:line="360" w:lineRule="auto"/>
        <w:ind w:left="283" w:hanging="283"/>
        <w:jc w:val="both"/>
      </w:pPr>
      <w:r>
        <w:t>Bloch-Elkouby, S., Johnson, B. N., Chen, J. P., El Hayek, R., Jones, A., Eid, T., de Siqueira, A. G., Apter, Y., Yao, H., Lok, B., Foster, A., &amp; Galynker, I. (2026). Can training clinicians in emotional awareness using virtual patient interactions improve the therapeutic alliance with psychiatric outpatients and reduce suicidal outcomes? Psychiatry Research, 356, 116846. https://doi.org/10.1016/j.psychres.2025.116846</w:t>
      </w:r>
    </w:p>
    <w:p w14:paraId="7E7C94CC" w14:textId="77777777" w:rsidR="0071428E" w:rsidRDefault="0071428E" w:rsidP="0071428E">
      <w:pPr>
        <w:spacing w:after="0" w:line="360" w:lineRule="auto"/>
        <w:ind w:left="283" w:hanging="283"/>
        <w:jc w:val="both"/>
      </w:pPr>
      <w:r>
        <w:t>Bolouki, A. (2024). The impact of virtual reality natural and built environments on affective responses: A systematic review and meta-analysis. International Journal of Environmental Health Research, 34(1), 73–89. https://doi.org/10.1080/09603123.2022.2130881</w:t>
      </w:r>
    </w:p>
    <w:p w14:paraId="0C653F63" w14:textId="77777777" w:rsidR="0071428E" w:rsidRDefault="0071428E" w:rsidP="0071428E">
      <w:pPr>
        <w:spacing w:after="0" w:line="360" w:lineRule="auto"/>
        <w:ind w:left="283" w:hanging="283"/>
        <w:jc w:val="both"/>
      </w:pPr>
      <w:r>
        <w:t>Bordin, E. S. (1979). The generalizability of the psychoanalytic concept of the working alliance. Psychotherapy: Theory, Research &amp; Practice, 16(3), 252–260. https://doi.org/10.1037/h0085885</w:t>
      </w:r>
    </w:p>
    <w:p w14:paraId="233D7463" w14:textId="77777777" w:rsidR="0071428E" w:rsidRDefault="0071428E" w:rsidP="0071428E">
      <w:pPr>
        <w:spacing w:after="0" w:line="360" w:lineRule="auto"/>
        <w:ind w:left="283" w:hanging="283"/>
        <w:jc w:val="both"/>
      </w:pPr>
      <w:r>
        <w:lastRenderedPageBreak/>
        <w:t>Borenstein, M., Hedges, L. V., Higgins, J. P. T., &amp; Rothstein, H. R. (2009). Introduction to meta-analysis. John Wiley &amp; Sons.</w:t>
      </w:r>
    </w:p>
    <w:p w14:paraId="07A6AF05" w14:textId="77777777" w:rsidR="0071428E" w:rsidRDefault="0071428E" w:rsidP="0071428E">
      <w:pPr>
        <w:spacing w:after="0" w:line="360" w:lineRule="auto"/>
        <w:ind w:left="283" w:hanging="283"/>
        <w:jc w:val="both"/>
      </w:pPr>
      <w:r>
        <w:t>Borenstein, M., Hedges, L. V., Higgins, J. P. T., &amp; Rothstein, H. R. (2014). Comprehensive Meta-Analysis (Version 3) [Computer software]. Biostat.</w:t>
      </w:r>
    </w:p>
    <w:p w14:paraId="2094F702" w14:textId="77777777" w:rsidR="0071428E" w:rsidRDefault="0071428E" w:rsidP="0071428E">
      <w:pPr>
        <w:spacing w:after="0" w:line="360" w:lineRule="auto"/>
        <w:ind w:left="283" w:hanging="283"/>
        <w:jc w:val="both"/>
      </w:pPr>
      <w:r>
        <w:t xml:space="preserve">Brooke, J. (1996). </w:t>
      </w:r>
      <w:r>
        <w:rPr>
          <w:i/>
        </w:rPr>
        <w:t>SUS</w:t>
      </w:r>
      <w:r>
        <w:t>: A ‘quick and dirty’ usability scale. In P. W. Jordan, B. Thomas, I. L. McClelland, &amp; B. Weerdmeester (Eds.), Usability evaluation in industry (pp. 189–194). Taylor &amp; Francis.</w:t>
      </w:r>
    </w:p>
    <w:p w14:paraId="0DD4D74E" w14:textId="77777777" w:rsidR="0071428E" w:rsidRDefault="0071428E" w:rsidP="0071428E">
      <w:pPr>
        <w:spacing w:after="0" w:line="360" w:lineRule="auto"/>
        <w:ind w:left="283" w:hanging="283"/>
        <w:jc w:val="both"/>
      </w:pPr>
      <w:r>
        <w:t>Brown, T. A. (2015). Confirmatory factor analysis for applied research (2nd ed.). Guilford Press.</w:t>
      </w:r>
    </w:p>
    <w:p w14:paraId="39547B11" w14:textId="77777777" w:rsidR="0071428E" w:rsidRDefault="0071428E" w:rsidP="0071428E">
      <w:pPr>
        <w:spacing w:after="0" w:line="360" w:lineRule="auto"/>
        <w:ind w:left="283" w:hanging="283"/>
        <w:jc w:val="both"/>
      </w:pPr>
      <w:r>
        <w:t>Carlsson, J. (2012). Research on psychotherapists’ professional development during and after training. Nordic Psychology, 64(3), 150–167. https://doi.org/10.1080/19012276.2012.731310</w:t>
      </w:r>
    </w:p>
    <w:p w14:paraId="790209B3" w14:textId="77777777" w:rsidR="0071428E" w:rsidRDefault="0071428E" w:rsidP="0071428E">
      <w:pPr>
        <w:spacing w:after="0" w:line="360" w:lineRule="auto"/>
        <w:ind w:left="283" w:hanging="283"/>
        <w:jc w:val="both"/>
      </w:pPr>
      <w:r>
        <w:t>Chittaro, L., &amp; Ranon, R. (2007). Web3D technologies in learning, education and training: Motivations, issues, opportunities. Computers &amp; Education, 49(1), 3–18. https://doi.org/10.1016/j.compedu.2005.06.002</w:t>
      </w:r>
    </w:p>
    <w:p w14:paraId="5E3AFFA7" w14:textId="77777777" w:rsidR="0071428E" w:rsidRDefault="0071428E" w:rsidP="0071428E">
      <w:pPr>
        <w:spacing w:after="0" w:line="360" w:lineRule="auto"/>
        <w:ind w:left="283" w:hanging="283"/>
        <w:jc w:val="both"/>
      </w:pPr>
      <w:r>
        <w:t>Cohen, J. (1988). Statistical power analysis for the behavioral sciences (2nd ed.). Lawrence Erlbaum Associates.</w:t>
      </w:r>
    </w:p>
    <w:p w14:paraId="186E8B9A" w14:textId="77777777" w:rsidR="0071428E" w:rsidRDefault="0071428E" w:rsidP="0071428E">
      <w:pPr>
        <w:spacing w:after="0" w:line="360" w:lineRule="auto"/>
        <w:ind w:left="283" w:hanging="283"/>
        <w:jc w:val="both"/>
      </w:pPr>
      <w:r>
        <w:t>Cristolțan, D. A. (2026a). Feasibility and usability of a VR-based training for therapeutic relationship skills in future psychotherapists: A pilot study. Journal of Evidence-Based Psychotherapies, 26(1), 19–38. https://doi.org/10.24193/jebp.2026.12</w:t>
      </w:r>
    </w:p>
    <w:p w14:paraId="63EE55EE" w14:textId="77777777" w:rsidR="0071428E" w:rsidRDefault="0071428E" w:rsidP="0071428E">
      <w:pPr>
        <w:spacing w:after="0" w:line="360" w:lineRule="auto"/>
        <w:ind w:left="283" w:hanging="283"/>
        <w:jc w:val="both"/>
      </w:pPr>
      <w:r>
        <w:t xml:space="preserve">Cristolțan, D. A. (2026b). Translation and validation of the Romanian version of the </w:t>
      </w:r>
      <w:r>
        <w:rPr>
          <w:i/>
        </w:rPr>
        <w:t>ITC–Sense of Presence Inventory</w:t>
      </w:r>
      <w:r>
        <w:t xml:space="preserve"> (</w:t>
      </w:r>
      <w:r>
        <w:rPr>
          <w:i/>
        </w:rPr>
        <w:t>ITC-SOPI</w:t>
      </w:r>
      <w:r>
        <w:t>) for assessing presence in virtual reality. Revista de Psihologie, 72(1), 63–79. https://doi.org/10.59277/RPSIH.2026.1.04</w:t>
      </w:r>
    </w:p>
    <w:p w14:paraId="49637423" w14:textId="77777777" w:rsidR="0071428E" w:rsidRDefault="0071428E" w:rsidP="0071428E">
      <w:pPr>
        <w:spacing w:after="0" w:line="360" w:lineRule="auto"/>
        <w:ind w:left="283" w:hanging="283"/>
        <w:jc w:val="both"/>
      </w:pPr>
      <w:r>
        <w:t>Duval, S., &amp; Tweedie, R. (2000). Trim and fill: A simple funnel-plot-based method of testing and adjusting for publication bias in meta-analysis. Biometrics, 56, 455–463. https://doi.org/10.1111/j.0006-341X.2000.00455.x</w:t>
      </w:r>
    </w:p>
    <w:p w14:paraId="076B330B" w14:textId="77777777" w:rsidR="0071428E" w:rsidRDefault="0071428E" w:rsidP="0071428E">
      <w:pPr>
        <w:spacing w:after="0" w:line="360" w:lineRule="auto"/>
        <w:ind w:left="283" w:hanging="283"/>
        <w:jc w:val="both"/>
      </w:pPr>
      <w:r>
        <w:t>Egger, M., Smith, G. D., Schneider, M., &amp; Minder, C. (1997). Bias in meta-analysis detected by a simple, graphical test. BMJ, 315, 629–634. https://doi.org/10.1136/bmj.315.7109.629</w:t>
      </w:r>
    </w:p>
    <w:p w14:paraId="3691D5AF" w14:textId="77777777" w:rsidR="0071428E" w:rsidRDefault="0071428E" w:rsidP="0071428E">
      <w:pPr>
        <w:spacing w:after="0" w:line="360" w:lineRule="auto"/>
        <w:ind w:left="283" w:hanging="283"/>
        <w:jc w:val="both"/>
      </w:pPr>
      <w:r>
        <w:t>Elliott, R., Bohart, A. C., Watson, J. C., &amp; Murphy, D. (2018). Therapist empathy and client outcome: An updated meta-analysis. Psychotherapy, 55(4), 399–410. https://doi.org/10.1037/pst0000175</w:t>
      </w:r>
    </w:p>
    <w:p w14:paraId="13BF6641" w14:textId="77777777" w:rsidR="0071428E" w:rsidRDefault="0071428E" w:rsidP="0071428E">
      <w:pPr>
        <w:spacing w:after="0" w:line="360" w:lineRule="auto"/>
        <w:ind w:left="283" w:hanging="283"/>
        <w:jc w:val="both"/>
      </w:pPr>
      <w:r>
        <w:t>Flückiger, C., Del Re, A. C., Wampold, B. E., &amp; Horvath, A. O. (2018). The alliance in adult psychotherapy: A meta-analytic synthesis. Psychotherapy, 55(4), 316–340. https://doi.org/10.1037/pst0000172</w:t>
      </w:r>
    </w:p>
    <w:p w14:paraId="30C290A0" w14:textId="77777777" w:rsidR="0071428E" w:rsidRDefault="0071428E" w:rsidP="0071428E">
      <w:pPr>
        <w:spacing w:after="0" w:line="360" w:lineRule="auto"/>
        <w:ind w:left="283" w:hanging="283"/>
        <w:jc w:val="both"/>
      </w:pPr>
      <w:r>
        <w:lastRenderedPageBreak/>
        <w:t>Frank, H. E., Becker-Haimes, E. M., &amp; Kendall, P. C. (2020). Therapist training in evidence-based interventions for mental health: A systematic review of training approaches and outcomes. Clinical Psychology: Science and Practice, 27(3), e12330. https://doi.org/10.1111/cpsp.12330</w:t>
      </w:r>
    </w:p>
    <w:p w14:paraId="333308C4" w14:textId="77777777" w:rsidR="0071428E" w:rsidRDefault="0071428E" w:rsidP="0071428E">
      <w:pPr>
        <w:spacing w:after="0" w:line="360" w:lineRule="auto"/>
        <w:ind w:left="283" w:hanging="283"/>
        <w:jc w:val="both"/>
      </w:pPr>
      <w:r>
        <w:t>Fredrickson, B. L. (2001). The role of positive emotions in positive psychology: The broaden-and-build theory of positive emotions. American Psychologist, 56(3), 218–226. https://doi.org/10.1037/0003-066X.56.3.218</w:t>
      </w:r>
    </w:p>
    <w:p w14:paraId="47E41B59" w14:textId="77777777" w:rsidR="0071428E" w:rsidRDefault="0071428E" w:rsidP="0071428E">
      <w:pPr>
        <w:spacing w:after="0" w:line="360" w:lineRule="auto"/>
      </w:pPr>
      <w:r>
        <w:t xml:space="preserve">Garcia Fracaro, S., Chan, P., Gallagher, T., Tehreem, Y., Toyoda, R., Bernaerts, K., Glassey, J., Pfeiffer, T., Slof, B., Wachsmuth, S., &amp; Wilk, M. (2021). Towards design guidelines for virtual reality training for the chemical industry. Education for Chemical Engineers, 36, 12–23. </w:t>
      </w:r>
      <w:hyperlink r:id="rId14" w:history="1">
        <w:r w:rsidRPr="005C60EC">
          <w:rPr>
            <w:rStyle w:val="Hyperlink"/>
          </w:rPr>
          <w:t>https://doi.org/10.1016/j.ece.2021.01.014</w:t>
        </w:r>
      </w:hyperlink>
      <w:r>
        <w:t xml:space="preserve"> </w:t>
      </w:r>
    </w:p>
    <w:p w14:paraId="14F9FE80" w14:textId="77777777" w:rsidR="0071428E" w:rsidRDefault="0071428E" w:rsidP="0071428E">
      <w:pPr>
        <w:spacing w:after="0" w:line="360" w:lineRule="auto"/>
        <w:ind w:left="283" w:hanging="283"/>
        <w:jc w:val="both"/>
      </w:pPr>
      <w:r>
        <w:t>Gelso, C. J. (2014). A tripartite model of the therapeutic relationship: Theory, research, and practice. Psychotherapy Research, 24(2), 117–131. https://doi.org/10.1080/10503307.2013.845920</w:t>
      </w:r>
    </w:p>
    <w:p w14:paraId="55A52DD2" w14:textId="77777777" w:rsidR="0071428E" w:rsidRDefault="0071428E" w:rsidP="0071428E">
      <w:pPr>
        <w:spacing w:after="0" w:line="360" w:lineRule="auto"/>
        <w:ind w:left="283" w:hanging="283"/>
        <w:jc w:val="both"/>
      </w:pPr>
      <w:r>
        <w:t>Gelso, C. J., &amp; Carter, J. A. (1985). The relationship in counseling and psychotherapy: Components, consequences, and theoretical antecedents. The Counseling Psychologist, 13(2), 155–243.</w:t>
      </w:r>
    </w:p>
    <w:p w14:paraId="3CDBA968" w14:textId="77777777" w:rsidR="0071428E" w:rsidRDefault="0071428E" w:rsidP="0071428E">
      <w:pPr>
        <w:spacing w:after="0" w:line="360" w:lineRule="auto"/>
        <w:ind w:left="283" w:hanging="283"/>
        <w:jc w:val="both"/>
      </w:pPr>
      <w:r w:rsidRPr="001924B2">
        <w:t xml:space="preserve">Gori, A., Topino, E., Brugnera, A., Dondoni, M., &amp; Lauro Grotto, R. (2022). Assessment of professional self-efficacy in psychological interventions and psychotherapy sessions: Development of the Therapist Self-Efficacy Scale (T-SES) and its application for eTherapy. </w:t>
      </w:r>
      <w:r w:rsidRPr="001924B2">
        <w:rPr>
          <w:i/>
          <w:iCs/>
        </w:rPr>
        <w:t>Journal of Clinical Psychology, 78</w:t>
      </w:r>
      <w:r w:rsidRPr="001924B2">
        <w:t xml:space="preserve">(11), 2122–2144. </w:t>
      </w:r>
      <w:hyperlink r:id="rId15" w:tgtFrame="_new" w:history="1">
        <w:r w:rsidRPr="001924B2">
          <w:rPr>
            <w:rStyle w:val="Hyperlink"/>
          </w:rPr>
          <w:t>https://doi.org/10.1002/jclp.23391</w:t>
        </w:r>
      </w:hyperlink>
    </w:p>
    <w:p w14:paraId="51FEC5A2" w14:textId="77777777" w:rsidR="0071428E" w:rsidRDefault="0071428E" w:rsidP="0071428E">
      <w:pPr>
        <w:spacing w:after="0" w:line="360" w:lineRule="auto"/>
        <w:ind w:left="283" w:hanging="283"/>
        <w:jc w:val="both"/>
      </w:pPr>
      <w:r>
        <w:t>Harmon-Jones, E., &amp; Harmon-Jones, C. (2021). On defining positive affect (PA): Considering attitudes toward emotions, measures of PA, and approach motivation. Current Opinion in Behavioral Sciences, 39, 46–51. https://doi.org/10.1016/j.cobeha.2021.01.008</w:t>
      </w:r>
    </w:p>
    <w:p w14:paraId="35F0C34D" w14:textId="77777777" w:rsidR="0071428E" w:rsidRDefault="0071428E" w:rsidP="0071428E">
      <w:pPr>
        <w:spacing w:after="0" w:line="360" w:lineRule="auto"/>
        <w:ind w:left="283" w:hanging="283"/>
        <w:jc w:val="both"/>
      </w:pPr>
      <w:r>
        <w:t xml:space="preserve">Hart, S. G., &amp; Staveland, L. E. (1988). Development of </w:t>
      </w:r>
      <w:r>
        <w:rPr>
          <w:i/>
        </w:rPr>
        <w:t>NASA-TLX</w:t>
      </w:r>
      <w:r>
        <w:t xml:space="preserve"> (</w:t>
      </w:r>
      <w:r>
        <w:rPr>
          <w:i/>
        </w:rPr>
        <w:t>Task Load Index</w:t>
      </w:r>
      <w:r>
        <w:t>): Results of empirical and theoretical research. In P. A. Hancock &amp; N. Meshkati (Eds.), Human mental workload (pp. 139–183). North-Holland.</w:t>
      </w:r>
    </w:p>
    <w:p w14:paraId="70812694" w14:textId="77777777" w:rsidR="0071428E" w:rsidRDefault="0071428E" w:rsidP="0071428E">
      <w:pPr>
        <w:spacing w:after="0" w:line="360" w:lineRule="auto"/>
        <w:ind w:left="283" w:hanging="283"/>
        <w:jc w:val="both"/>
      </w:pPr>
      <w:r>
        <w:t>Howard, M. C., Gutworth, M. B., &amp; Jacobs, R. R. (2021). A meta-analysis of virtual reality training programs. Computers in Human Behavior, 121, 106808. https://doi.org/10.1016/j.chb.2021.106808</w:t>
      </w:r>
    </w:p>
    <w:p w14:paraId="25B1F227" w14:textId="77777777" w:rsidR="0071428E" w:rsidRDefault="0071428E" w:rsidP="0071428E">
      <w:pPr>
        <w:spacing w:after="0" w:line="360" w:lineRule="auto"/>
        <w:ind w:left="283" w:hanging="283"/>
        <w:jc w:val="both"/>
      </w:pPr>
      <w:r>
        <w:t xml:space="preserve">JASP Team. (2023). JASP (Version 0.18) [Computer software]. </w:t>
      </w:r>
      <w:hyperlink r:id="rId16" w:history="1">
        <w:r w:rsidRPr="005C60EC">
          <w:rPr>
            <w:rStyle w:val="Hyperlink"/>
          </w:rPr>
          <w:t>https://jasp-stats.org/</w:t>
        </w:r>
      </w:hyperlink>
    </w:p>
    <w:p w14:paraId="36A39BB5" w14:textId="77777777" w:rsidR="0071428E" w:rsidRPr="001924B2" w:rsidRDefault="0071428E" w:rsidP="0071428E">
      <w:pPr>
        <w:spacing w:after="0" w:line="360" w:lineRule="auto"/>
        <w:ind w:left="283" w:hanging="283"/>
        <w:jc w:val="both"/>
      </w:pPr>
      <w:r w:rsidRPr="001924B2">
        <w:lastRenderedPageBreak/>
        <w:t xml:space="preserve">Hatcher, R. L., &amp; Gillaspy, J. A. (2006). Development and validation of a revised short version of the Working Alliance Inventory. </w:t>
      </w:r>
      <w:r w:rsidRPr="001924B2">
        <w:rPr>
          <w:i/>
          <w:iCs/>
        </w:rPr>
        <w:t>Psychotherapy Research, 16</w:t>
      </w:r>
      <w:r w:rsidRPr="001924B2">
        <w:t xml:space="preserve">(1), 12–25. </w:t>
      </w:r>
      <w:hyperlink r:id="rId17" w:tgtFrame="_new" w:history="1">
        <w:r w:rsidRPr="001924B2">
          <w:rPr>
            <w:rStyle w:val="Hyperlink"/>
          </w:rPr>
          <w:t>https://doi.org/10.1080/10503300500352500</w:t>
        </w:r>
      </w:hyperlink>
    </w:p>
    <w:p w14:paraId="3D994AEB" w14:textId="77777777" w:rsidR="0071428E" w:rsidRPr="001924B2" w:rsidRDefault="0071428E" w:rsidP="0071428E">
      <w:pPr>
        <w:spacing w:after="0" w:line="360" w:lineRule="auto"/>
        <w:ind w:left="283" w:hanging="283"/>
        <w:jc w:val="both"/>
      </w:pPr>
      <w:r w:rsidRPr="001924B2">
        <w:t xml:space="preserve">Hatcher, R. L., Lindqvist, K., &amp; Falkenström, F. (2020). Psychometric evaluation of the Working Alliance Inventory—Therapist version: Current and new short forms. </w:t>
      </w:r>
      <w:r w:rsidRPr="001924B2">
        <w:rPr>
          <w:i/>
          <w:iCs/>
        </w:rPr>
        <w:t>Psychotherapy Research, 30</w:t>
      </w:r>
      <w:r w:rsidRPr="001924B2">
        <w:t xml:space="preserve">(6), 706–717. </w:t>
      </w:r>
      <w:hyperlink r:id="rId18" w:tgtFrame="_new" w:history="1">
        <w:r w:rsidRPr="001924B2">
          <w:rPr>
            <w:rStyle w:val="Hyperlink"/>
          </w:rPr>
          <w:t>https://doi.org/10.1080/10503307.2019.1677964</w:t>
        </w:r>
      </w:hyperlink>
    </w:p>
    <w:p w14:paraId="3CDBDCE2" w14:textId="77777777" w:rsidR="0071428E" w:rsidRDefault="0071428E" w:rsidP="0071428E">
      <w:pPr>
        <w:spacing w:after="0" w:line="360" w:lineRule="auto"/>
        <w:ind w:left="283" w:hanging="283"/>
        <w:jc w:val="both"/>
      </w:pPr>
    </w:p>
    <w:p w14:paraId="59B596D4" w14:textId="77777777" w:rsidR="0071428E" w:rsidRDefault="0071428E" w:rsidP="0071428E">
      <w:pPr>
        <w:spacing w:after="0" w:line="360" w:lineRule="auto"/>
        <w:ind w:left="283" w:hanging="283"/>
        <w:jc w:val="both"/>
      </w:pPr>
      <w:r>
        <w:t xml:space="preserve">Kennedy, R. S., Lane, N. E., Berbaum, K. S., &amp; Lilienthal, M. G. (1993). </w:t>
      </w:r>
      <w:r>
        <w:rPr>
          <w:i/>
        </w:rPr>
        <w:t>Simulator Sickness Questionnaire</w:t>
      </w:r>
      <w:r>
        <w:t>: An enhanced method for quantifying simulator sickness. The International Journal of Aviation Psychology, 3(3), 203–220. https://doi.org/10.1207/s15327108ijap0303_3</w:t>
      </w:r>
    </w:p>
    <w:p w14:paraId="26681CDB" w14:textId="77777777" w:rsidR="0071428E" w:rsidRDefault="0071428E" w:rsidP="0071428E">
      <w:pPr>
        <w:spacing w:after="0" w:line="360" w:lineRule="auto"/>
      </w:pPr>
      <w:r>
        <w:t>Kenny, P., Rizzo, A. A., Parsons, T. D., Gratch, J., &amp; Swartout, W. (2007). A virtual human agent for training novice therapist clinical interviewing skills. Annual Review of CyberTherapy and Telemedicine, 5, 81–89.</w:t>
      </w:r>
    </w:p>
    <w:p w14:paraId="0327CF3C" w14:textId="77777777" w:rsidR="0071428E" w:rsidRDefault="0071428E" w:rsidP="0071428E">
      <w:pPr>
        <w:spacing w:after="0" w:line="360" w:lineRule="auto"/>
        <w:ind w:left="283" w:hanging="283"/>
        <w:jc w:val="both"/>
      </w:pPr>
      <w:r>
        <w:t>Kirschner, P. A. (2002). Cognitive load theory: Implications of cognitive load theory on the design of learning. Learning and Instruction, 12(1), 1–10. https://doi.org/10.1016/S0959-4752(01)00014-7</w:t>
      </w:r>
    </w:p>
    <w:p w14:paraId="2945E3D3" w14:textId="77777777" w:rsidR="0071428E" w:rsidRDefault="0071428E" w:rsidP="0071428E">
      <w:pPr>
        <w:spacing w:after="0" w:line="360" w:lineRule="auto"/>
        <w:ind w:left="283" w:hanging="283"/>
        <w:jc w:val="both"/>
      </w:pPr>
      <w:r>
        <w:t>Kisker, J., Gruber, T., &amp; Schöne, B. (2021). Behavioral realism and lifelike psychophysiological responses in virtual reality by the example of a height exposure. Psychological Research, 85(1), 68–81. https://doi.org/10.1007/s00426-019-01244-9</w:t>
      </w:r>
    </w:p>
    <w:p w14:paraId="7941E3E0" w14:textId="77777777" w:rsidR="0071428E" w:rsidRDefault="0071428E" w:rsidP="0071428E">
      <w:pPr>
        <w:spacing w:after="0" w:line="360" w:lineRule="auto"/>
        <w:ind w:left="283" w:hanging="283"/>
        <w:jc w:val="both"/>
      </w:pPr>
      <w:r>
        <w:t>Lee, K. M. (2004). Presence, explicated. Communication Theory, 14(1), 27–50. https://doi.org/10.1111/j.1468-2885.2004.tb00302.x</w:t>
      </w:r>
    </w:p>
    <w:p w14:paraId="6FD0117E" w14:textId="77777777" w:rsidR="0071428E" w:rsidRDefault="0071428E" w:rsidP="0071428E">
      <w:pPr>
        <w:spacing w:after="0" w:line="360" w:lineRule="auto"/>
        <w:ind w:left="283" w:hanging="283"/>
        <w:jc w:val="both"/>
      </w:pPr>
      <w:r>
        <w:t xml:space="preserve">Lessiter, J., Freeman, J., Keogh, E., &amp; Davidoff, J. (2001). A cross-media presence questionnaire: The </w:t>
      </w:r>
      <w:r>
        <w:rPr>
          <w:i/>
        </w:rPr>
        <w:t>ITC-Sense of Presence Inventory</w:t>
      </w:r>
      <w:r>
        <w:t>. Presence: Teleoperators and Virtual Environments, 10(3), 282–297. https://doi.org/10.1162/105474601300343612</w:t>
      </w:r>
    </w:p>
    <w:p w14:paraId="1C3BF833" w14:textId="77777777" w:rsidR="0071428E" w:rsidRDefault="0071428E" w:rsidP="0071428E">
      <w:pPr>
        <w:spacing w:after="0" w:line="360" w:lineRule="auto"/>
        <w:ind w:left="283" w:hanging="283"/>
        <w:jc w:val="both"/>
      </w:pPr>
      <w:r>
        <w:t>Levitt, H. M., Pomerville, A., Surace, F. I., &amp; Spanierman, L. B. (2022). Learning clinical and cultural empathy: A call for a multidimensional approach to empathy-focused psychotherapy training. American Psychologist, 77(5), 617–629. https://doi.org/10.1037/amp0000970</w:t>
      </w:r>
    </w:p>
    <w:p w14:paraId="43AD85E2" w14:textId="77777777" w:rsidR="0071428E" w:rsidRDefault="0071428E" w:rsidP="0071428E">
      <w:pPr>
        <w:spacing w:after="0" w:line="360" w:lineRule="auto"/>
        <w:ind w:left="283" w:hanging="283"/>
        <w:jc w:val="both"/>
      </w:pPr>
      <w:r>
        <w:t>Li Pira, G., Aquilini, B., Davoli, A., Grandi, S., &amp; Ruini, C. (2023). The use of virtual reality interventions to promote positive mental health: Systematic literature review. JMIR Mental Health, 10, e44998. https://doi.org/10.2196/44998</w:t>
      </w:r>
    </w:p>
    <w:p w14:paraId="72F60245" w14:textId="77777777" w:rsidR="0071428E" w:rsidRDefault="0071428E" w:rsidP="0071428E">
      <w:pPr>
        <w:spacing w:after="0" w:line="360" w:lineRule="auto"/>
        <w:ind w:left="283" w:hanging="283"/>
        <w:jc w:val="both"/>
      </w:pPr>
      <w:r>
        <w:lastRenderedPageBreak/>
        <w:t>Ling, Y., Nefs, H. T., Morina, N., Heynderickx, I., &amp; Brinkman, W.-P. (2014). A meta-analysis on the relationship between self-reported presence and anxiety in virtual reality exposure therapy for anxiety disorders. PLOS ONE, 9(5), e96144. https://doi.org/10.1371/journal.pone.0096144</w:t>
      </w:r>
    </w:p>
    <w:p w14:paraId="62C202BB" w14:textId="77777777" w:rsidR="0071428E" w:rsidRDefault="0071428E" w:rsidP="0071428E">
      <w:pPr>
        <w:spacing w:after="0" w:line="360" w:lineRule="auto"/>
        <w:ind w:left="283" w:hanging="283"/>
        <w:jc w:val="both"/>
      </w:pPr>
      <w:r>
        <w:t>Loderer, K., Pekrun, R., &amp; Lester, J. C. (2020). Beyond cold technology: A systematic review and meta-analysis on emotions in technology-based learning environments. Learning and Instruction, 70, 101162. https://doi.org/10.1016/j.learninstruc.2018.08.002</w:t>
      </w:r>
    </w:p>
    <w:p w14:paraId="47EFAEE7" w14:textId="77777777" w:rsidR="0071428E" w:rsidRDefault="0071428E" w:rsidP="0071428E">
      <w:pPr>
        <w:spacing w:after="0" w:line="360" w:lineRule="auto"/>
        <w:ind w:left="283" w:hanging="283"/>
        <w:jc w:val="both"/>
      </w:pPr>
      <w:r>
        <w:t>Ma, J., Zhao, D., Xu, N., &amp; Yang, J. (2023). The effectiveness of immersive virtual reality (VR) based mindfulness training on improvement mental-health in adults: A narrative systematic review. Explore, 19(3), 310–318. https://doi.org/10.1016/j.explore.2022.08.001</w:t>
      </w:r>
    </w:p>
    <w:p w14:paraId="5115AE22" w14:textId="77777777" w:rsidR="0071428E" w:rsidRDefault="0071428E" w:rsidP="0071428E">
      <w:pPr>
        <w:spacing w:after="0" w:line="360" w:lineRule="auto"/>
        <w:ind w:left="283" w:hanging="283"/>
        <w:jc w:val="both"/>
      </w:pPr>
      <w:r>
        <w:t>Makransky, G., &amp; Petersen, G. B. (2021). The Cognitive Affective Model of Immersive Learning (CAMIL): A theoretical research-based model of learning in immersive virtual reality. Educational Psychology Review, 33, 937–958. https://doi.org/10.1007/s10648-020-09586-2</w:t>
      </w:r>
    </w:p>
    <w:p w14:paraId="47C61C80" w14:textId="77777777" w:rsidR="0071428E" w:rsidRDefault="0071428E" w:rsidP="0071428E">
      <w:pPr>
        <w:spacing w:after="0" w:line="360" w:lineRule="auto"/>
        <w:ind w:left="283" w:hanging="283"/>
        <w:jc w:val="both"/>
      </w:pPr>
      <w:r>
        <w:t>Makransky, G., Terkildsen, T. S., &amp; Mayer, R. E. (2019). Adding immersive virtual reality to a science lab simulation causes more presence but less learning. Learning and Instruction, 60, 225–236. https://doi.org/10.1016/j.learninstruc.2017.12.007</w:t>
      </w:r>
    </w:p>
    <w:p w14:paraId="164045A6" w14:textId="77777777" w:rsidR="0071428E" w:rsidRDefault="0071428E" w:rsidP="0071428E">
      <w:pPr>
        <w:spacing w:after="0" w:line="360" w:lineRule="auto"/>
        <w:ind w:left="283" w:hanging="283"/>
        <w:jc w:val="both"/>
      </w:pPr>
      <w:r>
        <w:t>Martingano, A. J., Hererra, F., &amp; Konrath, S. (2021). Virtual reality improves emotional but not cognitive empathy: A meta-analysis. Technology, Mind, and Behavior, 2(1). https://doi.org/10.1037/tmb0000034</w:t>
      </w:r>
    </w:p>
    <w:p w14:paraId="3ABCC167" w14:textId="77777777" w:rsidR="0071428E" w:rsidRDefault="0071428E" w:rsidP="0071428E">
      <w:pPr>
        <w:spacing w:after="0" w:line="360" w:lineRule="auto"/>
        <w:ind w:left="283" w:hanging="283"/>
      </w:pPr>
      <w:r>
        <w:t>Meta Platforms, Inc. (2020). Meta Quest 2 [Virtual reality headset]. https://www.meta.com/quest/</w:t>
      </w:r>
    </w:p>
    <w:p w14:paraId="76546CEC" w14:textId="77777777" w:rsidR="0071428E" w:rsidRDefault="0071428E" w:rsidP="0071428E">
      <w:pPr>
        <w:spacing w:after="0" w:line="360" w:lineRule="auto"/>
        <w:ind w:left="283" w:hanging="283"/>
        <w:jc w:val="both"/>
      </w:pPr>
      <w:r>
        <w:t>Moher, D., Liberati, A., Tetzlaff, J., Altman, D. G., &amp; The PRISMA Group. (2009). Preferred reporting items for systematic reviews and meta-analyses: The PRISMA statement. PLOS Medicine, 6(7), e1000097. https://doi.org/10.1371/journal.pmed.1000097</w:t>
      </w:r>
    </w:p>
    <w:p w14:paraId="1FE39824" w14:textId="77777777" w:rsidR="0071428E" w:rsidRDefault="0071428E" w:rsidP="0071428E">
      <w:pPr>
        <w:spacing w:after="0" w:line="360" w:lineRule="auto"/>
        <w:ind w:left="283" w:hanging="283"/>
        <w:jc w:val="both"/>
      </w:pPr>
      <w:r>
        <w:t>Mostajeran, F., Fischer, M., Steinicke, F., &amp; Kühn, S. (2023). Effects of exposure to immersive computer-generated virtual nature and control environments on affect and cognition. Scientific Reports, 13, 220. https://doi.org/10.1038/s41598-022-26750-6</w:t>
      </w:r>
    </w:p>
    <w:p w14:paraId="79506109" w14:textId="77777777" w:rsidR="0071428E" w:rsidRDefault="0071428E" w:rsidP="0071428E">
      <w:pPr>
        <w:spacing w:after="0" w:line="360" w:lineRule="auto"/>
        <w:ind w:left="283" w:hanging="283"/>
        <w:jc w:val="both"/>
      </w:pPr>
      <w:r>
        <w:t>Norcross, J. C. (Ed.). (2011). Psychotherapy relationships that work: Evidence-based responsiveness (2nd ed.). Oxford University Press.</w:t>
      </w:r>
    </w:p>
    <w:p w14:paraId="1BA78CCF" w14:textId="77777777" w:rsidR="0071428E" w:rsidRDefault="0071428E" w:rsidP="0071428E">
      <w:pPr>
        <w:spacing w:after="0" w:line="360" w:lineRule="auto"/>
        <w:ind w:left="283" w:hanging="283"/>
        <w:jc w:val="both"/>
      </w:pPr>
      <w:r>
        <w:t>Norcross, J. C., &amp; Karpiak, C. P. (2025). Psychotherapy relationships. In S. Hupp &amp; D. F. Tolin (Eds.), Science-based therapy: Raising the bar for empirically supported treatments (pp. 381–398). Cambridge University Press. https://doi.org/10.1017/9781009086264.022</w:t>
      </w:r>
    </w:p>
    <w:p w14:paraId="05D1A277" w14:textId="77777777" w:rsidR="0071428E" w:rsidRDefault="0071428E" w:rsidP="0071428E">
      <w:pPr>
        <w:spacing w:after="0" w:line="360" w:lineRule="auto"/>
        <w:ind w:left="283" w:hanging="283"/>
        <w:jc w:val="both"/>
      </w:pPr>
      <w:r>
        <w:t>Norcross, J. C., &amp; Lambert, M. J. (2018). Psychotherapy relationships that work III. Psychotherapy, 55(4), 303–315. https://doi.org/10.1037/pst0000193</w:t>
      </w:r>
    </w:p>
    <w:p w14:paraId="56526AB9" w14:textId="77777777" w:rsidR="0071428E" w:rsidRDefault="0071428E" w:rsidP="0071428E">
      <w:pPr>
        <w:spacing w:after="0" w:line="360" w:lineRule="auto"/>
        <w:ind w:left="283" w:hanging="283"/>
        <w:jc w:val="both"/>
      </w:pPr>
      <w:r>
        <w:lastRenderedPageBreak/>
        <w:t>Oje, A. V., Hunsu, N. J., &amp; Fiorella, L. (2025). A systematic review of evidence-based design and pedagogical principles in educational virtual reality environments. Educational Research Review, 47, 100676. https://doi.org/10.1016/j.edurev.2025.100676</w:t>
      </w:r>
    </w:p>
    <w:p w14:paraId="32D51D97" w14:textId="77777777" w:rsidR="0071428E" w:rsidRDefault="0071428E" w:rsidP="0071428E">
      <w:pPr>
        <w:spacing w:after="0" w:line="360" w:lineRule="auto"/>
        <w:ind w:left="283" w:hanging="283"/>
        <w:jc w:val="both"/>
      </w:pPr>
      <w:r>
        <w:t>Pedram, S., &amp; Piatkowski, T. (2025). Exploring the potential of virtual reality (VR) in mental healthcare: A systematic literature review. Virtual Reality, 29, 135. https://doi.org/10.1007/s10055-025-01181-6</w:t>
      </w:r>
    </w:p>
    <w:p w14:paraId="34DCF04A" w14:textId="77777777" w:rsidR="0071428E" w:rsidRDefault="0071428E" w:rsidP="0071428E">
      <w:pPr>
        <w:spacing w:after="0" w:line="360" w:lineRule="auto"/>
        <w:ind w:left="283" w:hanging="283"/>
        <w:jc w:val="both"/>
      </w:pPr>
      <w:r>
        <w:t>Price, M., &amp; Anderson, P. (2007). The role of presence in virtual reality exposure therapy. Journal of Anxiety Disorders, 21(5), 742–751. https://doi.org/10.1016/j.janxdis.2006.11.002</w:t>
      </w:r>
    </w:p>
    <w:p w14:paraId="1AFB16D5" w14:textId="77777777" w:rsidR="0071428E" w:rsidRDefault="0071428E" w:rsidP="0071428E">
      <w:pPr>
        <w:spacing w:after="0" w:line="360" w:lineRule="auto"/>
        <w:ind w:left="283" w:hanging="283"/>
        <w:jc w:val="both"/>
      </w:pPr>
      <w:r>
        <w:t>Rønnestad, M. H., Orlinsky, D. E., &amp; Willutzki, U. (2025). Exploring influences of supervision on psychotherapists’ professional development: Correlates across career-level cohorts. Counselling Psychology Quarterly, 38(2), 297–319. https://doi.org/10.1080/09515070.2024.2378879</w:t>
      </w:r>
    </w:p>
    <w:p w14:paraId="2DA7BBF4" w14:textId="77777777" w:rsidR="0071428E" w:rsidRDefault="0071428E" w:rsidP="0071428E">
      <w:pPr>
        <w:spacing w:after="0" w:line="360" w:lineRule="auto"/>
        <w:ind w:left="283" w:hanging="283"/>
        <w:jc w:val="both"/>
      </w:pPr>
      <w:r>
        <w:t>Rønnestad, M. H., Orlinsky, D. E., Schröder, T. A., Skovholt, T. M., &amp; Willutzki, U. (2019). The professional development of counsellors and psychotherapists: Implications of empirical studies for supervision, training and practice. Counselling and Psychotherapy Research, 19(3), 214–230. https://doi.org/10.1002/capr.12198</w:t>
      </w:r>
    </w:p>
    <w:p w14:paraId="16E23990" w14:textId="77777777" w:rsidR="0071428E" w:rsidRDefault="0071428E" w:rsidP="0071428E">
      <w:pPr>
        <w:spacing w:after="0" w:line="360" w:lineRule="auto"/>
        <w:ind w:left="283" w:hanging="283"/>
        <w:jc w:val="both"/>
      </w:pPr>
      <w:r>
        <w:t>Rønning, S. B., &amp; Bjørkly, S. (2019). The use of clinical role-play and reflection in learning therapeutic communication skills in mental health education: An integrative review. Advances in Medical Education and Practice, 10, 415–425. https://doi.org/10.2147/AMEP.S202115</w:t>
      </w:r>
    </w:p>
    <w:p w14:paraId="7FC70C72" w14:textId="77777777" w:rsidR="0071428E" w:rsidRDefault="0071428E" w:rsidP="0071428E">
      <w:pPr>
        <w:spacing w:after="0" w:line="360" w:lineRule="auto"/>
        <w:ind w:left="283" w:hanging="283"/>
        <w:jc w:val="both"/>
      </w:pPr>
      <w:r>
        <w:t>Rosén, E. (2019). Learning how to learn: Psychology trainees’ self-compassion while implementing deliberate practice, with FIT at a psychotherapy training clinic [Master’s thesis, Umeå University].</w:t>
      </w:r>
    </w:p>
    <w:p w14:paraId="12356807" w14:textId="77777777" w:rsidR="0071428E" w:rsidRDefault="0071428E" w:rsidP="0071428E">
      <w:pPr>
        <w:spacing w:after="0" w:line="360" w:lineRule="auto"/>
        <w:ind w:left="283" w:hanging="283"/>
        <w:jc w:val="both"/>
      </w:pPr>
      <w:r>
        <w:t>Schubert, T. W., Friedmann, F., &amp; Regenbrecht, H. (2001). The experience of presence: Factor analytic insights. Presence: Teleoperators and Virtual Environments, 10(3), 266–281.</w:t>
      </w:r>
    </w:p>
    <w:p w14:paraId="25E49CB3" w14:textId="77777777" w:rsidR="0071428E" w:rsidRDefault="0071428E" w:rsidP="0071428E">
      <w:pPr>
        <w:spacing w:after="0" w:line="360" w:lineRule="auto"/>
        <w:ind w:left="283" w:hanging="283"/>
        <w:jc w:val="both"/>
      </w:pPr>
      <w:r>
        <w:t>Schulz, K. F., Altman, D. G., &amp; Moher, D., for the CONSORT Group. (2010). CONSORT 2010 statement: Updated guidelines for reporting parallel group randomised trials. BMJ, 340, c332. https://doi.org/10.1136/bmj.c332</w:t>
      </w:r>
    </w:p>
    <w:p w14:paraId="4E5C55CB" w14:textId="77777777" w:rsidR="0071428E" w:rsidRDefault="0071428E" w:rsidP="0071428E">
      <w:pPr>
        <w:spacing w:after="0" w:line="360" w:lineRule="auto"/>
        <w:ind w:left="283" w:hanging="283"/>
        <w:jc w:val="both"/>
      </w:pPr>
      <w:r>
        <w:t>Shen, L. (2010). On a scale of state empathy during message processing. Western Journal of Communication, 74(5), 504–524. https://doi.org/10.1080/10570314.2010.512278</w:t>
      </w:r>
    </w:p>
    <w:p w14:paraId="4754339F" w14:textId="77777777" w:rsidR="0071428E" w:rsidRDefault="0071428E" w:rsidP="0071428E">
      <w:pPr>
        <w:spacing w:after="0" w:line="360" w:lineRule="auto"/>
        <w:ind w:left="283" w:hanging="283"/>
        <w:jc w:val="both"/>
      </w:pPr>
      <w:r>
        <w:t>Slater, M., &amp; Wilbur, S. (1997). A framework for immersive virtual environments (FIVE): Speculations on the role of presence in virtual environments. Presence: Teleoperators and Virtual Environments, 6(6), 603–616. https://doi.org/10.1162/pres.1997.6.6.603</w:t>
      </w:r>
    </w:p>
    <w:p w14:paraId="044D43AA" w14:textId="77777777" w:rsidR="0071428E" w:rsidRDefault="0071428E" w:rsidP="0071428E">
      <w:pPr>
        <w:spacing w:after="0" w:line="360" w:lineRule="auto"/>
        <w:ind w:left="283" w:hanging="283"/>
        <w:jc w:val="both"/>
      </w:pPr>
      <w:r>
        <w:lastRenderedPageBreak/>
        <w:t>Tufanaru, C., Munn, Z., Aromataris, E., Campbell, J., &amp; Hopp, L. (2020). Chapter 3: Systematic reviews of effectiveness. In E. Aromataris &amp; Z. Munn (Eds.), JBI manual for evidence synthesis. JBI.</w:t>
      </w:r>
    </w:p>
    <w:p w14:paraId="23298FA0" w14:textId="77777777" w:rsidR="0071428E" w:rsidRDefault="0071428E" w:rsidP="0071428E">
      <w:pPr>
        <w:spacing w:after="0" w:line="360" w:lineRule="auto"/>
        <w:ind w:left="283" w:hanging="283"/>
        <w:jc w:val="both"/>
      </w:pPr>
      <w:r>
        <w:t>Tusher, H. M., Mallam, S., &amp; Nazir, S. (2024). A systematic review of virtual reality features for skill training. Technology, Knowledge and Learning, 29(2), 843–878. https://doi.org/10.1007/s10758-023-09713-2</w:t>
      </w:r>
    </w:p>
    <w:p w14:paraId="0C77AFD1" w14:textId="77777777" w:rsidR="0071428E" w:rsidRDefault="0071428E" w:rsidP="0071428E">
      <w:pPr>
        <w:spacing w:after="0" w:line="360" w:lineRule="auto"/>
        <w:ind w:left="283" w:hanging="283"/>
        <w:jc w:val="both"/>
      </w:pPr>
      <w:r>
        <w:t xml:space="preserve">Ventura, S., Badenes-Ribera, L., Herrero, R., Cebolla, A., Galiana, L., &amp; Baños, R. (2020). Virtual reality as a medium to elicit empathy: A meta-analysis. Cyberpsychology, Behavior, and Social Networking, 23(10), 667–676. </w:t>
      </w:r>
      <w:hyperlink r:id="rId19" w:history="1">
        <w:r w:rsidRPr="005C60EC">
          <w:rPr>
            <w:rStyle w:val="Hyperlink"/>
          </w:rPr>
          <w:t>https://doi.org/10.1089/cyber.2019.0681</w:t>
        </w:r>
      </w:hyperlink>
    </w:p>
    <w:p w14:paraId="66A08B5D" w14:textId="77777777" w:rsidR="0071428E" w:rsidRDefault="0071428E" w:rsidP="0071428E">
      <w:pPr>
        <w:spacing w:after="0" w:line="360" w:lineRule="auto"/>
        <w:ind w:left="283" w:hanging="283"/>
        <w:jc w:val="both"/>
      </w:pPr>
      <w:r w:rsidRPr="00A41977">
        <w:t xml:space="preserve">Watson, D., Clark, L. A., &amp; Tellegen, A. (1988). Development and validation of brief measures of positive and negative affect: The PANAS scales. </w:t>
      </w:r>
      <w:r w:rsidRPr="00A41977">
        <w:rPr>
          <w:i/>
          <w:iCs/>
        </w:rPr>
        <w:t>Journal of Personality and Social Psychology, 54</w:t>
      </w:r>
      <w:r w:rsidRPr="00A41977">
        <w:t xml:space="preserve">(6), 1063–1070. </w:t>
      </w:r>
      <w:hyperlink r:id="rId20" w:tgtFrame="_new" w:history="1">
        <w:r w:rsidRPr="00A41977">
          <w:rPr>
            <w:rStyle w:val="Hyperlink"/>
          </w:rPr>
          <w:t>https://doi.org/10.1037/0022-3514.54.6.1063</w:t>
        </w:r>
      </w:hyperlink>
    </w:p>
    <w:p w14:paraId="380F4F98" w14:textId="77777777" w:rsidR="0071428E" w:rsidRDefault="0071428E" w:rsidP="0071428E">
      <w:pPr>
        <w:spacing w:after="0" w:line="360" w:lineRule="auto"/>
        <w:ind w:left="283" w:hanging="283"/>
        <w:jc w:val="both"/>
      </w:pPr>
      <w:r>
        <w:t>Yang, H., Cai, M., Diao, Y., Liu, R., Liu, L., &amp; Xiang, Q. (2023). How does interactive virtual reality enhance learning outcomes via emotional experiences? A structural equation modeling approach. Frontiers in Psychology, 13, 1081372. https://doi.org/10.3389/fpsyg.2022.1081372</w:t>
      </w:r>
    </w:p>
    <w:p w14:paraId="0CECC099" w14:textId="0FF9EB3F" w:rsidR="00762E5F" w:rsidRDefault="00762E5F" w:rsidP="00B34B59">
      <w:pPr>
        <w:spacing w:after="0" w:line="360" w:lineRule="auto"/>
      </w:pPr>
    </w:p>
    <w:p w14:paraId="71A564F4" w14:textId="77777777" w:rsidR="00762E5F" w:rsidRDefault="00762E5F" w:rsidP="00B34B59">
      <w:pPr>
        <w:spacing w:after="0" w:line="360" w:lineRule="auto"/>
      </w:pPr>
    </w:p>
    <w:p w14:paraId="711EC765" w14:textId="77777777" w:rsidR="006741EE" w:rsidRDefault="00000000">
      <w:r>
        <w:br w:type="page"/>
      </w:r>
    </w:p>
    <w:sectPr w:rsidR="006741EE" w:rsidSect="00034616">
      <w:footerReference w:type="default" r:id="rId21"/>
      <w:pgSz w:w="12240" w:h="15840"/>
      <w:pgMar w:top="1304" w:right="1417" w:bottom="130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D99B" w14:textId="77777777" w:rsidR="00F1644D" w:rsidRDefault="00F1644D">
      <w:pPr>
        <w:spacing w:after="0" w:line="240" w:lineRule="auto"/>
      </w:pPr>
      <w:r>
        <w:separator/>
      </w:r>
    </w:p>
  </w:endnote>
  <w:endnote w:type="continuationSeparator" w:id="0">
    <w:p w14:paraId="1FA7AF69" w14:textId="77777777" w:rsidR="00F1644D" w:rsidRDefault="00F16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2318" w14:textId="77777777" w:rsidR="00762E5F" w:rsidRDefault="00000000">
    <w:pPr>
      <w:pStyle w:val="Footer"/>
      <w:jc w:val="center"/>
    </w:pPr>
    <w:r>
      <w:fldChar w:fldCharType="begin"/>
    </w:r>
    <w:r>
      <w:instrText>PAGE</w:instrText>
    </w:r>
    <w:r>
      <w:fldChar w:fldCharType="separate"/>
    </w:r>
    <w:r w:rsidR="008149C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32E6" w14:textId="77777777" w:rsidR="00F1644D" w:rsidRDefault="00F1644D">
      <w:pPr>
        <w:spacing w:after="0" w:line="240" w:lineRule="auto"/>
      </w:pPr>
      <w:r>
        <w:separator/>
      </w:r>
    </w:p>
  </w:footnote>
  <w:footnote w:type="continuationSeparator" w:id="0">
    <w:p w14:paraId="7A442E2B" w14:textId="77777777" w:rsidR="00F1644D" w:rsidRDefault="00F1644D">
      <w:pPr>
        <w:spacing w:after="0" w:line="240" w:lineRule="auto"/>
      </w:pPr>
      <w:r>
        <w:continuationSeparator/>
      </w:r>
    </w:p>
  </w:footnote>
  <w:footnote w:id="1">
    <w:p w14:paraId="3021F817" w14:textId="77777777" w:rsidR="008E6496" w:rsidRDefault="008E6496" w:rsidP="008E6496">
      <w:pPr>
        <w:pStyle w:val="Heading3"/>
        <w:spacing w:line="306" w:lineRule="auto"/>
        <w:rPr>
          <w:rFonts w:ascii="Times New Roman" w:eastAsia="Times New Roman" w:hAnsi="Times New Roman"/>
        </w:rPr>
      </w:pPr>
      <w:r>
        <w:rPr>
          <w:rStyle w:val="FootnoteReference"/>
        </w:rPr>
        <w:footnoteRef/>
      </w:r>
      <w:r w:rsidRPr="008E6496">
        <w:rPr>
          <w:rFonts w:ascii="Times New Roman" w:eastAsia="Times New Roman" w:hAnsi="Times New Roman" w:cstheme="minorBidi"/>
          <w:b w:val="0"/>
          <w:bCs w:val="0"/>
          <w:color w:val="auto"/>
        </w:rPr>
        <w:t xml:space="preserve">This study was previously published as: Cristolțan, D. A. (2026). Feasibility and usability of a VR-based training programme for therapeutic relationship skills in future psychotherapists: A pilot study. </w:t>
      </w:r>
      <w:r w:rsidRPr="008E6496">
        <w:rPr>
          <w:rFonts w:ascii="Times New Roman" w:eastAsia="Times New Roman" w:hAnsi="Times New Roman" w:cstheme="minorBidi"/>
          <w:b w:val="0"/>
          <w:bCs w:val="0"/>
          <w:i/>
          <w:iCs/>
          <w:color w:val="auto"/>
        </w:rPr>
        <w:t>Journal of Evidence-Based Psychotherapies, 26</w:t>
      </w:r>
      <w:r w:rsidRPr="008E6496">
        <w:rPr>
          <w:rFonts w:ascii="Times New Roman" w:eastAsia="Times New Roman" w:hAnsi="Times New Roman" w:cstheme="minorBidi"/>
          <w:b w:val="0"/>
          <w:bCs w:val="0"/>
          <w:color w:val="auto"/>
        </w:rPr>
        <w:t xml:space="preserve">(1), 19–38. </w:t>
      </w:r>
      <w:hyperlink r:id="rId1" w:history="1">
        <w:r w:rsidR="00004CD5" w:rsidRPr="00004CD5">
          <w:rPr>
            <w:rStyle w:val="Hyperlink"/>
            <w:rFonts w:ascii="Times New Roman" w:eastAsia="Times New Roman" w:hAnsi="Times New Roman" w:cstheme="minorBidi"/>
            <w:b w:val="0"/>
            <w:bCs w:val="0"/>
          </w:rPr>
          <w:t>https://doi.org/10.24193/jebp.2026.12</w:t>
        </w:r>
      </w:hyperlink>
    </w:p>
    <w:p w14:paraId="223764B9" w14:textId="77777777" w:rsidR="008E6496" w:rsidRPr="008E6496" w:rsidRDefault="008E6496">
      <w:pPr>
        <w:pStyle w:val="FootnoteText"/>
        <w:rPr>
          <w:lang w:val="ro-RO"/>
        </w:rPr>
      </w:pPr>
    </w:p>
  </w:footnote>
  <w:footnote w:id="2">
    <w:p w14:paraId="421FC2EE" w14:textId="77777777" w:rsidR="0030402D" w:rsidRPr="0030402D" w:rsidRDefault="0030402D" w:rsidP="0030402D">
      <w:pPr>
        <w:pStyle w:val="FootnoteText"/>
      </w:pPr>
      <w:r>
        <w:rPr>
          <w:rStyle w:val="FootnoteReference"/>
        </w:rPr>
        <w:footnoteRef/>
      </w:r>
      <w:r>
        <w:t xml:space="preserve"> </w:t>
      </w:r>
      <w:r>
        <w:rPr>
          <w:lang w:val="ro-RO"/>
        </w:rPr>
        <w:t xml:space="preserve">This study was previously published under the title: Cristolțan, D. A. (2026). Translation and validation of the Romanian version of the </w:t>
      </w:r>
      <w:r>
        <w:rPr>
          <w:i/>
          <w:lang w:val="ro-RO"/>
        </w:rPr>
        <w:t xml:space="preserve">ITC–Sense of Presence </w:t>
      </w:r>
      <w:r>
        <w:rPr>
          <w:lang w:val="ro-RO"/>
        </w:rPr>
        <w:t>Inventory (</w:t>
      </w:r>
      <w:r>
        <w:rPr>
          <w:i/>
          <w:lang w:val="ro-RO"/>
        </w:rPr>
        <w:t>ITC-SOPI</w:t>
      </w:r>
      <w:r>
        <w:rPr>
          <w:lang w:val="ro-RO"/>
        </w:rPr>
        <w:t>) for assessing presence in virtual reality. Revista de Psihologie, 72(1), 63–79. https://doi.org/10.59277/RPSIH.2026.1.04</w:t>
      </w:r>
    </w:p>
    <w:p w14:paraId="5786075D" w14:textId="77777777" w:rsidR="0030402D" w:rsidRPr="0030402D" w:rsidRDefault="0030402D">
      <w:pPr>
        <w:pStyle w:val="FootnoteText"/>
        <w:rPr>
          <w:lang w:val="ro-R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7B47C9F"/>
    <w:multiLevelType w:val="multilevel"/>
    <w:tmpl w:val="766E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4405704">
    <w:abstractNumId w:val="8"/>
  </w:num>
  <w:num w:numId="2" w16cid:durableId="386993005">
    <w:abstractNumId w:val="6"/>
  </w:num>
  <w:num w:numId="3" w16cid:durableId="483351123">
    <w:abstractNumId w:val="5"/>
  </w:num>
  <w:num w:numId="4" w16cid:durableId="943535405">
    <w:abstractNumId w:val="4"/>
  </w:num>
  <w:num w:numId="5" w16cid:durableId="396587681">
    <w:abstractNumId w:val="7"/>
  </w:num>
  <w:num w:numId="6" w16cid:durableId="1447041327">
    <w:abstractNumId w:val="3"/>
  </w:num>
  <w:num w:numId="7" w16cid:durableId="1324048758">
    <w:abstractNumId w:val="2"/>
  </w:num>
  <w:num w:numId="8" w16cid:durableId="1316453715">
    <w:abstractNumId w:val="1"/>
  </w:num>
  <w:num w:numId="9" w16cid:durableId="423109966">
    <w:abstractNumId w:val="0"/>
  </w:num>
  <w:num w:numId="10" w16cid:durableId="11025318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CD5"/>
    <w:rsid w:val="0001213E"/>
    <w:rsid w:val="00034616"/>
    <w:rsid w:val="0006063C"/>
    <w:rsid w:val="000B2B02"/>
    <w:rsid w:val="000D50AB"/>
    <w:rsid w:val="000F313E"/>
    <w:rsid w:val="00111AE0"/>
    <w:rsid w:val="00122C93"/>
    <w:rsid w:val="0015074B"/>
    <w:rsid w:val="00157054"/>
    <w:rsid w:val="00164AFB"/>
    <w:rsid w:val="001924B2"/>
    <w:rsid w:val="001A7C48"/>
    <w:rsid w:val="001B0682"/>
    <w:rsid w:val="001D31C9"/>
    <w:rsid w:val="00204871"/>
    <w:rsid w:val="00256723"/>
    <w:rsid w:val="00280A80"/>
    <w:rsid w:val="002910A1"/>
    <w:rsid w:val="0029639D"/>
    <w:rsid w:val="0030402D"/>
    <w:rsid w:val="00305148"/>
    <w:rsid w:val="0032694A"/>
    <w:rsid w:val="00326F90"/>
    <w:rsid w:val="00351C68"/>
    <w:rsid w:val="0036490A"/>
    <w:rsid w:val="003A7075"/>
    <w:rsid w:val="003B4388"/>
    <w:rsid w:val="003B7C52"/>
    <w:rsid w:val="003E318F"/>
    <w:rsid w:val="00422A31"/>
    <w:rsid w:val="00477604"/>
    <w:rsid w:val="004A68E6"/>
    <w:rsid w:val="004B04D3"/>
    <w:rsid w:val="004B6DA2"/>
    <w:rsid w:val="004F17BE"/>
    <w:rsid w:val="004F6028"/>
    <w:rsid w:val="00521A43"/>
    <w:rsid w:val="00525DC0"/>
    <w:rsid w:val="00540F0E"/>
    <w:rsid w:val="005430EF"/>
    <w:rsid w:val="00543219"/>
    <w:rsid w:val="00546905"/>
    <w:rsid w:val="00602406"/>
    <w:rsid w:val="006172DA"/>
    <w:rsid w:val="00662F04"/>
    <w:rsid w:val="006741EE"/>
    <w:rsid w:val="006B5E7A"/>
    <w:rsid w:val="006E4DC7"/>
    <w:rsid w:val="006F6F24"/>
    <w:rsid w:val="00711C62"/>
    <w:rsid w:val="0071428E"/>
    <w:rsid w:val="00725B35"/>
    <w:rsid w:val="00732FBA"/>
    <w:rsid w:val="0074640D"/>
    <w:rsid w:val="00754EC1"/>
    <w:rsid w:val="00762E5F"/>
    <w:rsid w:val="007644E9"/>
    <w:rsid w:val="008149C0"/>
    <w:rsid w:val="00823CBB"/>
    <w:rsid w:val="00826A62"/>
    <w:rsid w:val="00847EE8"/>
    <w:rsid w:val="00867D79"/>
    <w:rsid w:val="008841E3"/>
    <w:rsid w:val="008B54E3"/>
    <w:rsid w:val="008D505D"/>
    <w:rsid w:val="008E6496"/>
    <w:rsid w:val="0093029F"/>
    <w:rsid w:val="009319E5"/>
    <w:rsid w:val="00984E4D"/>
    <w:rsid w:val="009939D9"/>
    <w:rsid w:val="00997EE8"/>
    <w:rsid w:val="009E7B3B"/>
    <w:rsid w:val="00A2196B"/>
    <w:rsid w:val="00A418BC"/>
    <w:rsid w:val="00A41977"/>
    <w:rsid w:val="00A77F24"/>
    <w:rsid w:val="00AA1D8D"/>
    <w:rsid w:val="00AB380D"/>
    <w:rsid w:val="00B34B59"/>
    <w:rsid w:val="00B47730"/>
    <w:rsid w:val="00B56470"/>
    <w:rsid w:val="00B62880"/>
    <w:rsid w:val="00BF3320"/>
    <w:rsid w:val="00C073B1"/>
    <w:rsid w:val="00C07588"/>
    <w:rsid w:val="00C27DF6"/>
    <w:rsid w:val="00C30431"/>
    <w:rsid w:val="00C317B4"/>
    <w:rsid w:val="00C47ABF"/>
    <w:rsid w:val="00C611F2"/>
    <w:rsid w:val="00C91E49"/>
    <w:rsid w:val="00CB0664"/>
    <w:rsid w:val="00CC55A1"/>
    <w:rsid w:val="00CC72B5"/>
    <w:rsid w:val="00D0484D"/>
    <w:rsid w:val="00D0655D"/>
    <w:rsid w:val="00D0698A"/>
    <w:rsid w:val="00D13D7D"/>
    <w:rsid w:val="00D21508"/>
    <w:rsid w:val="00D36412"/>
    <w:rsid w:val="00D9423F"/>
    <w:rsid w:val="00DB5015"/>
    <w:rsid w:val="00DC4EFA"/>
    <w:rsid w:val="00DD6165"/>
    <w:rsid w:val="00E11B2E"/>
    <w:rsid w:val="00E1548E"/>
    <w:rsid w:val="00E32DA1"/>
    <w:rsid w:val="00E54BB3"/>
    <w:rsid w:val="00EC444A"/>
    <w:rsid w:val="00ED23D7"/>
    <w:rsid w:val="00F043BB"/>
    <w:rsid w:val="00F11D52"/>
    <w:rsid w:val="00F1644D"/>
    <w:rsid w:val="00F36A09"/>
    <w:rsid w:val="00F6330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D48DF8"/>
  <w14:defaultImageDpi w14:val="300"/>
  <w15:docId w15:val="{506458AC-59EB-4B2C-9582-C3503217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396"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149C0"/>
    <w:pPr>
      <w:spacing w:before="100" w:beforeAutospacing="1" w:afterAutospacing="1" w:line="240" w:lineRule="auto"/>
    </w:pPr>
    <w:rPr>
      <w:rFonts w:cs="Times New Roman"/>
      <w:szCs w:val="24"/>
    </w:rPr>
  </w:style>
  <w:style w:type="character" w:styleId="Hyperlink">
    <w:name w:val="Hyperlink"/>
    <w:basedOn w:val="DefaultParagraphFont"/>
    <w:uiPriority w:val="99"/>
    <w:unhideWhenUsed/>
    <w:rsid w:val="008149C0"/>
    <w:rPr>
      <w:color w:val="0000FF"/>
      <w:u w:val="single"/>
    </w:rPr>
  </w:style>
  <w:style w:type="paragraph" w:customStyle="1" w:styleId="isselectedend">
    <w:name w:val="isselectedend"/>
    <w:basedOn w:val="Normal"/>
    <w:rsid w:val="00725B35"/>
    <w:pPr>
      <w:spacing w:before="100" w:beforeAutospacing="1" w:afterAutospacing="1" w:line="240" w:lineRule="auto"/>
    </w:pPr>
    <w:rPr>
      <w:rFonts w:cs="Times New Roman"/>
      <w:szCs w:val="24"/>
    </w:rPr>
  </w:style>
  <w:style w:type="character" w:styleId="UnresolvedMention">
    <w:name w:val="Unresolved Mention"/>
    <w:basedOn w:val="DefaultParagraphFont"/>
    <w:uiPriority w:val="99"/>
    <w:semiHidden/>
    <w:unhideWhenUsed/>
    <w:rsid w:val="008E6496"/>
    <w:rPr>
      <w:color w:val="605E5C"/>
      <w:shd w:val="clear" w:color="auto" w:fill="E1DFDD"/>
    </w:rPr>
  </w:style>
  <w:style w:type="paragraph" w:styleId="FootnoteText">
    <w:name w:val="footnote text"/>
    <w:basedOn w:val="Normal"/>
    <w:link w:val="FootnoteTextChar"/>
    <w:uiPriority w:val="99"/>
    <w:semiHidden/>
    <w:unhideWhenUsed/>
    <w:rsid w:val="008E64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6496"/>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8E6496"/>
    <w:rPr>
      <w:vertAlign w:val="superscript"/>
    </w:rPr>
  </w:style>
  <w:style w:type="paragraph" w:styleId="HTMLPreformatted">
    <w:name w:val="HTML Preformatted"/>
    <w:basedOn w:val="Normal"/>
    <w:link w:val="HTMLPreformattedChar"/>
    <w:uiPriority w:val="99"/>
    <w:semiHidden/>
    <w:unhideWhenUsed/>
    <w:rsid w:val="0030402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0402D"/>
    <w:rPr>
      <w:rFonts w:ascii="Consolas" w:eastAsia="Times New Roman"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doi.org/10.1080/10503307.2019.167796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oi.org/10.1080/10503300500352500" TargetMode="External"/><Relationship Id="rId2" Type="http://schemas.openxmlformats.org/officeDocument/2006/relationships/numbering" Target="numbering.xml"/><Relationship Id="rId16" Type="http://schemas.openxmlformats.org/officeDocument/2006/relationships/hyperlink" Target="https://jasp-stats.org/" TargetMode="External"/><Relationship Id="rId20" Type="http://schemas.openxmlformats.org/officeDocument/2006/relationships/hyperlink" Target="https://doi.org/10.1037/0022-3514.54.6.10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doi.org/10.1002/jclp.23391" TargetMode="External"/><Relationship Id="rId23" Type="http://schemas.openxmlformats.org/officeDocument/2006/relationships/theme" Target="theme/theme1.xml"/><Relationship Id="rId10" Type="http://schemas.openxmlformats.org/officeDocument/2006/relationships/hyperlink" Target="http://www.plagiarismdetector.com/" TargetMode="External"/><Relationship Id="rId19" Type="http://schemas.openxmlformats.org/officeDocument/2006/relationships/hyperlink" Target="https://doi.org/10.1089/cyber.2019.068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ece.2021.01.014"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4193/jebp.2026.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12942</Words>
  <Characters>73770</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Rezumatul tezei de doctorat - Dana Andreea Cristolțan</vt:lpstr>
    </vt:vector>
  </TitlesOfParts>
  <Manager/>
  <Company/>
  <LinksUpToDate>false</LinksUpToDate>
  <CharactersWithSpaces>86539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Rezumatul tezei de doctorat - Dana Andreea Cristolțan</dc:title>
  <dc:subject>Rezumat teză doctorat</dc:subject>
  <dc:creator>Dana Andreea Cristolțan</dc:creator>
  <cp:keywords>realitate virtuală; relație terapeutică; psihoterapeuți; empatie; alianță terapeutică, docId:793276240670D768876507BD7ECCE350</cp:keywords>
  <dc:description/>
  <cp:lastModifiedBy>ROG</cp:lastModifiedBy>
  <cp:revision>3</cp:revision>
  <dcterms:created xsi:type="dcterms:W3CDTF">2026-08-01T17:44:00Z</dcterms:created>
  <dcterms:modified xsi:type="dcterms:W3CDTF">2026-08-01T17:47:00Z</dcterms:modified>
  <cp:category/>
</cp:coreProperties>
</file>