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BA7B8" w14:textId="77777777" w:rsidR="008149C0" w:rsidRDefault="00C317B4" w:rsidP="00B34B59">
      <w:pPr>
        <w:spacing w:after="0" w:line="360" w:lineRule="auto"/>
        <w:jc w:val="center"/>
        <w:rPr>
          <w:rFonts w:cs="Times New Roman"/>
          <w:b/>
          <w:szCs w:val="24"/>
        </w:rPr>
      </w:pPr>
      <w:r>
        <w:rPr>
          <w:noProof/>
        </w:rPr>
        <w:drawing>
          <wp:anchor distT="0" distB="0" distL="115200" distR="115200" simplePos="0" relativeHeight="251655680" behindDoc="0" locked="0" layoutInCell="1" allowOverlap="1" wp14:anchorId="0C3775C4" wp14:editId="3D63B64D">
            <wp:simplePos x="0" y="0"/>
            <wp:positionH relativeFrom="column">
              <wp:posOffset>-243840</wp:posOffset>
            </wp:positionH>
            <wp:positionV relativeFrom="paragraph">
              <wp:posOffset>83820</wp:posOffset>
            </wp:positionV>
            <wp:extent cx="826135" cy="825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409506" name=""/>
                    <pic:cNvPicPr>
                      <a:picLocks noChangeAspect="1"/>
                    </pic:cNvPicPr>
                  </pic:nvPicPr>
                  <pic:blipFill rotWithShape="1">
                    <a:blip r:embed="rId8"/>
                    <a:stretch/>
                  </pic:blipFill>
                  <pic:spPr bwMode="auto">
                    <a:xfrm>
                      <a:off x="0" y="0"/>
                      <a:ext cx="826135" cy="8255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6" behindDoc="0" locked="0" layoutInCell="1" allowOverlap="1" wp14:anchorId="08B70F45" wp14:editId="6D64CB58">
            <wp:simplePos x="0" y="0"/>
            <wp:positionH relativeFrom="column">
              <wp:posOffset>4000500</wp:posOffset>
            </wp:positionH>
            <wp:positionV relativeFrom="paragraph">
              <wp:posOffset>-38735</wp:posOffset>
            </wp:positionV>
            <wp:extent cx="1983740" cy="1007110"/>
            <wp:effectExtent l="0" t="0" r="0" b="0"/>
            <wp:wrapTopAndBottom/>
            <wp:docPr id="14424165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3740" cy="1007110"/>
                    </a:xfrm>
                    <a:prstGeom prst="rect">
                      <a:avLst/>
                    </a:prstGeom>
                    <a:noFill/>
                    <a:ln>
                      <a:noFill/>
                    </a:ln>
                  </pic:spPr>
                </pic:pic>
              </a:graphicData>
            </a:graphic>
          </wp:anchor>
        </w:drawing>
      </w:r>
    </w:p>
    <w:p w14:paraId="4B7DF870" w14:textId="77777777" w:rsidR="008149C0" w:rsidRPr="0075083C" w:rsidRDefault="008149C0" w:rsidP="00B34B59">
      <w:pPr>
        <w:spacing w:after="0" w:line="360" w:lineRule="auto"/>
        <w:jc w:val="center"/>
        <w:rPr>
          <w:rFonts w:cs="Times New Roman"/>
          <w:szCs w:val="24"/>
        </w:rPr>
      </w:pPr>
      <w:r w:rsidRPr="0075083C">
        <w:rPr>
          <w:rFonts w:cs="Times New Roman"/>
          <w:b/>
          <w:szCs w:val="24"/>
        </w:rPr>
        <w:t>UNIVERSITATEA BABEȘ-BOLYAI</w:t>
      </w:r>
    </w:p>
    <w:p w14:paraId="3AB0BC2D" w14:textId="77777777" w:rsidR="008149C0" w:rsidRPr="0075083C" w:rsidRDefault="008149C0" w:rsidP="00B34B59">
      <w:pPr>
        <w:spacing w:after="0" w:line="360" w:lineRule="auto"/>
        <w:jc w:val="center"/>
        <w:rPr>
          <w:rFonts w:cs="Times New Roman"/>
          <w:szCs w:val="24"/>
        </w:rPr>
      </w:pPr>
      <w:r w:rsidRPr="0075083C">
        <w:rPr>
          <w:rFonts w:cs="Times New Roman"/>
          <w:b/>
          <w:szCs w:val="24"/>
        </w:rPr>
        <w:t>FACULTATEA DE PSIHOLOGIE ȘI ȘTIINȚE ALE EDUCAȚIEI</w:t>
      </w:r>
    </w:p>
    <w:p w14:paraId="292FE756" w14:textId="77777777" w:rsidR="008149C0" w:rsidRDefault="008149C0" w:rsidP="00B34B59">
      <w:pPr>
        <w:spacing w:after="0" w:line="360" w:lineRule="auto"/>
        <w:jc w:val="center"/>
        <w:rPr>
          <w:rFonts w:cs="Times New Roman"/>
          <w:b/>
          <w:szCs w:val="24"/>
        </w:rPr>
      </w:pPr>
      <w:r w:rsidRPr="0075083C">
        <w:rPr>
          <w:rFonts w:cs="Times New Roman"/>
          <w:b/>
          <w:szCs w:val="24"/>
        </w:rPr>
        <w:t>ȘCOALA DOCTORALĂ</w:t>
      </w:r>
      <w:r w:rsidRPr="00CC5950">
        <w:rPr>
          <w:rFonts w:cs="Times New Roman"/>
          <w:b/>
          <w:szCs w:val="24"/>
        </w:rPr>
        <w:t xml:space="preserve"> DE PSIHODIAGNOSTIC ȘI INTERVENȚII PSIHOLOGICE VALIDATE ȘTIINȚIFIC</w:t>
      </w:r>
    </w:p>
    <w:p w14:paraId="19369D14" w14:textId="77777777" w:rsidR="00B34B59" w:rsidRPr="00CC5950" w:rsidRDefault="00B34B59" w:rsidP="00B34B59">
      <w:pPr>
        <w:spacing w:after="0" w:line="360" w:lineRule="auto"/>
        <w:jc w:val="center"/>
        <w:rPr>
          <w:rFonts w:cs="Times New Roman"/>
          <w:b/>
          <w:szCs w:val="24"/>
        </w:rPr>
      </w:pPr>
    </w:p>
    <w:p w14:paraId="2DCA91AE" w14:textId="77777777" w:rsidR="008149C0" w:rsidRPr="0075083C" w:rsidRDefault="008149C0" w:rsidP="00B34B59">
      <w:pPr>
        <w:spacing w:after="0" w:line="360" w:lineRule="auto"/>
        <w:jc w:val="center"/>
        <w:rPr>
          <w:rFonts w:cs="Times New Roman"/>
          <w:szCs w:val="24"/>
        </w:rPr>
      </w:pPr>
    </w:p>
    <w:p w14:paraId="4F4385F8" w14:textId="77777777" w:rsidR="008149C0" w:rsidRDefault="008149C0" w:rsidP="00B34B59">
      <w:pPr>
        <w:spacing w:after="0" w:line="360" w:lineRule="auto"/>
        <w:jc w:val="center"/>
        <w:rPr>
          <w:rFonts w:cs="Times New Roman"/>
          <w:b/>
          <w:sz w:val="28"/>
          <w:szCs w:val="28"/>
        </w:rPr>
      </w:pPr>
      <w:r w:rsidRPr="00CC5950">
        <w:rPr>
          <w:rFonts w:cs="Times New Roman"/>
          <w:b/>
          <w:sz w:val="28"/>
          <w:szCs w:val="28"/>
        </w:rPr>
        <w:t>REZUMATUL TEZEI DE DOCTORAT</w:t>
      </w:r>
    </w:p>
    <w:p w14:paraId="72D0415C" w14:textId="77777777" w:rsidR="00B34B59" w:rsidRDefault="00B34B59" w:rsidP="00B34B59">
      <w:pPr>
        <w:spacing w:after="0" w:line="360" w:lineRule="auto"/>
        <w:jc w:val="center"/>
        <w:rPr>
          <w:rFonts w:cs="Times New Roman"/>
          <w:b/>
          <w:sz w:val="28"/>
          <w:szCs w:val="28"/>
        </w:rPr>
      </w:pPr>
    </w:p>
    <w:p w14:paraId="4F925830" w14:textId="77777777" w:rsidR="00B34B59" w:rsidRDefault="00B34B59" w:rsidP="00B34B59">
      <w:pPr>
        <w:spacing w:after="0" w:line="360" w:lineRule="auto"/>
        <w:jc w:val="center"/>
        <w:rPr>
          <w:rFonts w:cs="Times New Roman"/>
          <w:b/>
          <w:sz w:val="28"/>
          <w:szCs w:val="28"/>
        </w:rPr>
      </w:pPr>
    </w:p>
    <w:p w14:paraId="3C143B44" w14:textId="77777777" w:rsidR="00B34B59" w:rsidRPr="00CC5950" w:rsidRDefault="00B34B59" w:rsidP="00B34B59">
      <w:pPr>
        <w:spacing w:after="0" w:line="360" w:lineRule="auto"/>
        <w:jc w:val="center"/>
        <w:rPr>
          <w:rFonts w:cs="Times New Roman"/>
          <w:sz w:val="28"/>
          <w:szCs w:val="28"/>
        </w:rPr>
      </w:pPr>
    </w:p>
    <w:p w14:paraId="6C77590D" w14:textId="77777777" w:rsidR="008149C0" w:rsidRPr="0075083C" w:rsidRDefault="008149C0" w:rsidP="00B34B59">
      <w:pPr>
        <w:spacing w:after="0" w:line="360" w:lineRule="auto"/>
        <w:jc w:val="center"/>
        <w:rPr>
          <w:rFonts w:cs="Times New Roman"/>
          <w:szCs w:val="24"/>
        </w:rPr>
      </w:pPr>
      <w:r w:rsidRPr="0075083C">
        <w:rPr>
          <w:rFonts w:cs="Times New Roman"/>
          <w:b/>
          <w:szCs w:val="24"/>
        </w:rPr>
        <w:t>REALITATEA VIRTUALĂ PENTRU FORMAREA ABILITĂȚILOR RELAȚIE</w:t>
      </w:r>
      <w:r>
        <w:rPr>
          <w:rFonts w:cs="Times New Roman"/>
          <w:b/>
          <w:szCs w:val="24"/>
        </w:rPr>
        <w:t>I</w:t>
      </w:r>
      <w:r w:rsidRPr="0075083C">
        <w:rPr>
          <w:rFonts w:cs="Times New Roman"/>
          <w:b/>
          <w:szCs w:val="24"/>
        </w:rPr>
        <w:t xml:space="preserve"> TERAPEUTIC</w:t>
      </w:r>
      <w:r>
        <w:rPr>
          <w:rFonts w:cs="Times New Roman"/>
          <w:b/>
          <w:szCs w:val="24"/>
        </w:rPr>
        <w:t xml:space="preserve">E </w:t>
      </w:r>
      <w:r w:rsidRPr="0075083C">
        <w:rPr>
          <w:rFonts w:cs="Times New Roman"/>
          <w:b/>
          <w:szCs w:val="24"/>
        </w:rPr>
        <w:t>LA VIITORII PSIHOTERAPEUȚI:</w:t>
      </w:r>
    </w:p>
    <w:p w14:paraId="39A03F62" w14:textId="77777777" w:rsidR="008149C0" w:rsidRDefault="008149C0" w:rsidP="00B34B59">
      <w:pPr>
        <w:spacing w:after="0" w:line="360" w:lineRule="auto"/>
        <w:jc w:val="center"/>
        <w:rPr>
          <w:rFonts w:cs="Times New Roman"/>
          <w:b/>
          <w:i/>
          <w:iCs/>
          <w:szCs w:val="24"/>
        </w:rPr>
      </w:pPr>
      <w:r w:rsidRPr="0075083C">
        <w:rPr>
          <w:rFonts w:cs="Times New Roman"/>
          <w:b/>
          <w:szCs w:val="24"/>
        </w:rPr>
        <w:t xml:space="preserve">PROIECTAREA ȘI EVALUAREA EMPIRICĂ A APLICAȚIEI </w:t>
      </w:r>
      <w:r>
        <w:rPr>
          <w:rFonts w:cs="Times New Roman"/>
          <w:b/>
          <w:i/>
          <w:iCs/>
          <w:szCs w:val="24"/>
        </w:rPr>
        <w:t>FUTURE PSYCHOTHERAPISTS</w:t>
      </w:r>
    </w:p>
    <w:p w14:paraId="7AC76532" w14:textId="77777777" w:rsidR="00B34B59" w:rsidRDefault="00B34B59" w:rsidP="00B34B59">
      <w:pPr>
        <w:spacing w:after="0" w:line="360" w:lineRule="auto"/>
        <w:jc w:val="center"/>
        <w:rPr>
          <w:rFonts w:cs="Times New Roman"/>
          <w:b/>
          <w:i/>
          <w:iCs/>
          <w:szCs w:val="24"/>
        </w:rPr>
      </w:pPr>
    </w:p>
    <w:p w14:paraId="7DB01AAA" w14:textId="77777777" w:rsidR="00B34B59" w:rsidRDefault="00B34B59" w:rsidP="00B34B59">
      <w:pPr>
        <w:spacing w:after="0" w:line="360" w:lineRule="auto"/>
        <w:jc w:val="center"/>
        <w:rPr>
          <w:rFonts w:cs="Times New Roman"/>
          <w:b/>
          <w:i/>
          <w:iCs/>
          <w:szCs w:val="24"/>
        </w:rPr>
      </w:pPr>
    </w:p>
    <w:p w14:paraId="53AC6F96" w14:textId="77777777" w:rsidR="008149C0" w:rsidRPr="0075083C" w:rsidRDefault="008149C0" w:rsidP="00B34B59">
      <w:pPr>
        <w:spacing w:after="0" w:line="360" w:lineRule="auto"/>
        <w:jc w:val="center"/>
        <w:rPr>
          <w:rFonts w:cs="Times New Roman"/>
          <w:i/>
          <w:iCs/>
          <w:szCs w:val="24"/>
        </w:rPr>
      </w:pPr>
    </w:p>
    <w:p w14:paraId="1941B74B" w14:textId="77777777" w:rsidR="008149C0" w:rsidRPr="0075083C" w:rsidRDefault="008149C0" w:rsidP="00B34B59">
      <w:pPr>
        <w:spacing w:after="0" w:line="360" w:lineRule="auto"/>
        <w:rPr>
          <w:rFonts w:cs="Times New Roman"/>
          <w:szCs w:val="24"/>
        </w:rPr>
      </w:pPr>
      <w:r w:rsidRPr="0075083C">
        <w:rPr>
          <w:rFonts w:cs="Times New Roman"/>
          <w:b/>
          <w:szCs w:val="24"/>
        </w:rPr>
        <w:t xml:space="preserve">AUTOR: </w:t>
      </w:r>
      <w:r w:rsidRPr="00CC5950">
        <w:rPr>
          <w:rFonts w:cs="Times New Roman"/>
          <w:bCs/>
          <w:szCs w:val="24"/>
        </w:rPr>
        <w:t>DOCTORAND DANA ANDREEA CRISTOLȚAN</w:t>
      </w:r>
    </w:p>
    <w:p w14:paraId="09217E02" w14:textId="77777777" w:rsidR="008149C0" w:rsidRDefault="008149C0" w:rsidP="00B34B59">
      <w:pPr>
        <w:spacing w:after="0" w:line="360" w:lineRule="auto"/>
        <w:rPr>
          <w:rFonts w:cs="Times New Roman"/>
          <w:bCs/>
          <w:szCs w:val="24"/>
        </w:rPr>
      </w:pPr>
      <w:r w:rsidRPr="0075083C">
        <w:rPr>
          <w:rFonts w:cs="Times New Roman"/>
          <w:b/>
          <w:szCs w:val="24"/>
        </w:rPr>
        <w:t xml:space="preserve">COORDONATOR ȘTIINȚIFIC: </w:t>
      </w:r>
      <w:r w:rsidRPr="00CC5950">
        <w:rPr>
          <w:rFonts w:cs="Times New Roman"/>
          <w:bCs/>
          <w:szCs w:val="24"/>
        </w:rPr>
        <w:t>PROFESOR UNIV. DR. DANIEL OVIDIU DAVID</w:t>
      </w:r>
    </w:p>
    <w:p w14:paraId="06410C1F" w14:textId="77777777" w:rsidR="00B34B59" w:rsidRDefault="00B34B59" w:rsidP="00B34B59">
      <w:pPr>
        <w:spacing w:after="0" w:line="360" w:lineRule="auto"/>
        <w:rPr>
          <w:rFonts w:cs="Times New Roman"/>
          <w:bCs/>
          <w:szCs w:val="24"/>
        </w:rPr>
      </w:pPr>
    </w:p>
    <w:p w14:paraId="64C83B9A" w14:textId="77777777" w:rsidR="00B34B59" w:rsidRDefault="00B34B59" w:rsidP="00B34B59">
      <w:pPr>
        <w:spacing w:after="0" w:line="360" w:lineRule="auto"/>
        <w:rPr>
          <w:rFonts w:cs="Times New Roman"/>
          <w:bCs/>
          <w:szCs w:val="24"/>
        </w:rPr>
      </w:pPr>
    </w:p>
    <w:p w14:paraId="4622BD14" w14:textId="77777777" w:rsidR="00B34B59" w:rsidRDefault="00B34B59" w:rsidP="00B34B59">
      <w:pPr>
        <w:spacing w:after="0" w:line="360" w:lineRule="auto"/>
        <w:rPr>
          <w:rFonts w:cs="Times New Roman"/>
          <w:bCs/>
          <w:szCs w:val="24"/>
        </w:rPr>
      </w:pPr>
    </w:p>
    <w:p w14:paraId="05A402CB" w14:textId="77777777" w:rsidR="00B34B59" w:rsidRDefault="00B34B59" w:rsidP="00B34B59">
      <w:pPr>
        <w:spacing w:after="0" w:line="360" w:lineRule="auto"/>
        <w:rPr>
          <w:rFonts w:cs="Times New Roman"/>
          <w:bCs/>
          <w:szCs w:val="24"/>
        </w:rPr>
      </w:pPr>
    </w:p>
    <w:p w14:paraId="6073FE92" w14:textId="77777777" w:rsidR="00B34B59" w:rsidRPr="0075083C" w:rsidRDefault="00B34B59" w:rsidP="00B34B59">
      <w:pPr>
        <w:spacing w:after="0" w:line="360" w:lineRule="auto"/>
        <w:rPr>
          <w:rFonts w:cs="Times New Roman"/>
          <w:szCs w:val="24"/>
        </w:rPr>
      </w:pPr>
    </w:p>
    <w:p w14:paraId="64EBCA52" w14:textId="77777777" w:rsidR="008149C0" w:rsidRPr="0075083C" w:rsidRDefault="008149C0" w:rsidP="00B34B59">
      <w:pPr>
        <w:spacing w:after="0" w:line="360" w:lineRule="auto"/>
        <w:jc w:val="center"/>
        <w:rPr>
          <w:rFonts w:cs="Times New Roman"/>
          <w:szCs w:val="24"/>
        </w:rPr>
      </w:pPr>
      <w:r w:rsidRPr="0075083C">
        <w:rPr>
          <w:rFonts w:cs="Times New Roman"/>
          <w:szCs w:val="24"/>
        </w:rPr>
        <w:t>Cluj-Napoca</w:t>
      </w:r>
    </w:p>
    <w:p w14:paraId="44BDA373" w14:textId="77777777" w:rsidR="008149C0" w:rsidRPr="0075083C" w:rsidRDefault="008149C0" w:rsidP="00B34B59">
      <w:pPr>
        <w:spacing w:after="0" w:line="360" w:lineRule="auto"/>
        <w:jc w:val="center"/>
        <w:rPr>
          <w:rFonts w:cs="Times New Roman"/>
          <w:szCs w:val="24"/>
        </w:rPr>
      </w:pPr>
      <w:r w:rsidRPr="0075083C">
        <w:rPr>
          <w:rFonts w:cs="Times New Roman"/>
          <w:szCs w:val="24"/>
        </w:rPr>
        <w:t>2026</w:t>
      </w:r>
    </w:p>
    <w:p w14:paraId="3A344FB0" w14:textId="137349FA" w:rsidR="008149C0" w:rsidRDefault="008149C0" w:rsidP="00B34B59">
      <w:pPr>
        <w:pStyle w:val="NormalWeb"/>
        <w:spacing w:after="0" w:afterAutospacing="0" w:line="360" w:lineRule="auto"/>
        <w:jc w:val="center"/>
      </w:pPr>
      <w:r>
        <w:lastRenderedPageBreak/>
        <w:t>MULȚUMIRI</w:t>
      </w:r>
    </w:p>
    <w:p w14:paraId="46E88A7E" w14:textId="77777777" w:rsidR="00B34B59" w:rsidRDefault="00B34B59" w:rsidP="00B34B59">
      <w:pPr>
        <w:pStyle w:val="NormalWeb"/>
        <w:spacing w:after="0" w:afterAutospacing="0" w:line="360" w:lineRule="auto"/>
        <w:jc w:val="center"/>
      </w:pPr>
    </w:p>
    <w:p w14:paraId="03E1F5C6" w14:textId="77777777" w:rsidR="008149C0" w:rsidRDefault="008149C0" w:rsidP="00B34B59">
      <w:pPr>
        <w:pStyle w:val="NormalWeb"/>
        <w:spacing w:before="0" w:beforeAutospacing="0" w:after="0" w:afterAutospacing="0" w:line="360" w:lineRule="auto"/>
        <w:ind w:firstLine="720"/>
        <w:jc w:val="both"/>
      </w:pPr>
      <w:r>
        <w:t>Aș dori să-mi exprim profunda recunoștință față de îndrumătorul de doctorat, domnul prof. univ. dr. Daniel David, pentru cei cinci ani de colaborare, caracterizați prin claritate și concentrare asupra aspectelor cu adevărat importante. Îi sunt profund recunoscătoare pentru corectitudinea, rigoarea și profesionalismul care îi definesc activitatea, precum și pentru exemplul de seriozitate și standarde înalte pe care îl oferă în mod constant. De asemenea, îi mulțumesc pentru că a crezut în capacitatea mea de a depăși barierele teoretice și de a transpune în practică ideile dezvoltate în această teză.</w:t>
      </w:r>
    </w:p>
    <w:p w14:paraId="0E9E5073" w14:textId="77777777" w:rsidR="008149C0" w:rsidRDefault="008149C0" w:rsidP="00B34B59">
      <w:pPr>
        <w:pStyle w:val="NormalWeb"/>
        <w:spacing w:before="0" w:beforeAutospacing="0" w:after="0" w:afterAutospacing="0" w:line="360" w:lineRule="auto"/>
        <w:ind w:firstLine="720"/>
        <w:jc w:val="both"/>
      </w:pPr>
      <w:r>
        <w:t>Aș dori, de asemenea, să mulțumesc și doamnei prof. univ. dr. Anca Dobrean, doamnei prof. univ. dr. Aurora Szentagotai și doamnei prof. univ. dr. Oana David pentru îndrumarea academică și pentru ajutorul acordat în chestiuni organizatorice.</w:t>
      </w:r>
    </w:p>
    <w:p w14:paraId="6A8102FF" w14:textId="77777777" w:rsidR="008149C0" w:rsidRDefault="008149C0" w:rsidP="00B34B59">
      <w:pPr>
        <w:pStyle w:val="NormalWeb"/>
        <w:spacing w:before="0" w:beforeAutospacing="0" w:after="0" w:afterAutospacing="0" w:line="360" w:lineRule="auto"/>
        <w:ind w:firstLine="720"/>
        <w:jc w:val="both"/>
      </w:pPr>
      <w:r>
        <w:t>Sunt recunoscătoare și colegilor mei, Roxana Cardoș, Monica Bartucz și Andrei Patrichi. Îi mulțumesc Roxanei pentru sprijinul acordat în momentele critice și pentru structura pe care a adus-o tezei mele. Îi mulțumesc Monicăi pentru sprijinul necondiționat și pentru atenția acordată, iar lui Andrei îi mulțumesc pentru libertatea intelectuală pe care a adus-o acestei călătorii și pentru modul în care a susținut principiile științei nu doar în activitatea academică, ci și în viața de zi cu zi. Aș dori, de asemenea, să le mulțumesc tuturor colegilor cu care am împărtășit această experiență într-un mod atât de plăcut, plin de umor și respect.</w:t>
      </w:r>
    </w:p>
    <w:p w14:paraId="725CEBD1" w14:textId="77777777" w:rsidR="008149C0" w:rsidRDefault="008149C0" w:rsidP="00B34B59">
      <w:pPr>
        <w:pStyle w:val="NormalWeb"/>
        <w:spacing w:before="0" w:beforeAutospacing="0" w:after="0" w:afterAutospacing="0" w:line="360" w:lineRule="auto"/>
        <w:ind w:firstLine="720"/>
        <w:jc w:val="both"/>
      </w:pPr>
    </w:p>
    <w:p w14:paraId="71CFA270" w14:textId="77777777" w:rsidR="008149C0" w:rsidRDefault="008149C0" w:rsidP="00B34B59">
      <w:pPr>
        <w:pStyle w:val="NormalWeb"/>
        <w:spacing w:before="0" w:beforeAutospacing="0" w:after="0" w:afterAutospacing="0" w:line="360" w:lineRule="auto"/>
      </w:pPr>
      <w:r>
        <w:t>Note___________________________</w:t>
      </w:r>
    </w:p>
    <w:p w14:paraId="4597AA15" w14:textId="77777777" w:rsidR="008149C0" w:rsidRDefault="008149C0" w:rsidP="00B34B59">
      <w:pPr>
        <w:pStyle w:val="NormalWeb"/>
        <w:spacing w:before="0" w:beforeAutospacing="0" w:after="0" w:afterAutospacing="0" w:line="360" w:lineRule="auto"/>
      </w:pPr>
      <w:r>
        <w:t>(1) Prin prezenta notă, Dana Cristolțan certifică faptul că:</w:t>
      </w:r>
    </w:p>
    <w:p w14:paraId="6664CA28" w14:textId="77777777" w:rsidR="008149C0" w:rsidRDefault="008149C0" w:rsidP="00B34B59">
      <w:pPr>
        <w:pStyle w:val="NormalWeb"/>
        <w:spacing w:before="0" w:beforeAutospacing="0" w:after="0" w:afterAutospacing="0" w:line="360" w:lineRule="auto"/>
      </w:pPr>
      <w:r>
        <w:t>(a) Teza include lucrarea de cercetare originală a Danei Cristolțan, realizată în vederea obținerii titlului de doctor;</w:t>
      </w:r>
    </w:p>
    <w:p w14:paraId="43AC5B44" w14:textId="77777777" w:rsidR="008149C0" w:rsidRDefault="008149C0" w:rsidP="00B34B59">
      <w:pPr>
        <w:pStyle w:val="NormalWeb"/>
        <w:spacing w:before="0" w:beforeAutospacing="0" w:after="0" w:afterAutospacing="0" w:line="360" w:lineRule="auto"/>
      </w:pPr>
      <w:r>
        <w:t>(b) Anumite părți ale tezei au fost deja publicate, sunt în curs de publicare sau au fost trimise spre publicare; citările corespunzătoare pentru aceste publicații au fost incluse în teză. Alți coautori au fost menționați în publicații, în cazul în care au contribuit la redactarea textului publicat, la interpretarea datelor etc., contribuția lor fiind explicată clar în notele de subsol ale tezei;</w:t>
      </w:r>
    </w:p>
    <w:p w14:paraId="46360769" w14:textId="77777777" w:rsidR="008149C0" w:rsidRDefault="008149C0" w:rsidP="00B34B59">
      <w:pPr>
        <w:pStyle w:val="NormalWeb"/>
        <w:spacing w:before="0" w:beforeAutospacing="0" w:after="0" w:afterAutospacing="0" w:line="360" w:lineRule="auto"/>
      </w:pPr>
      <w:r>
        <w:t xml:space="preserve">(c) Teza a fost redactată în conformitate cu standardele de scriere academică. Autoarea tezei a inclus în text trimiterile științifice și citările corespunzătoare. Întregul text al tezei și rezumatul </w:t>
      </w:r>
      <w:r>
        <w:lastRenderedPageBreak/>
        <w:t>acesteia au fost redactate de Dana Cristolțan, care își asumă întreaga responsabilitate pentru scrierea academică. De asemenea:</w:t>
      </w:r>
    </w:p>
    <w:p w14:paraId="21C71A78" w14:textId="77777777" w:rsidR="008149C0" w:rsidRDefault="008149C0" w:rsidP="00B34B59">
      <w:pPr>
        <w:pStyle w:val="NormalWeb"/>
        <w:numPr>
          <w:ilvl w:val="0"/>
          <w:numId w:val="10"/>
        </w:numPr>
        <w:spacing w:before="0" w:beforeAutospacing="0" w:after="0" w:afterAutospacing="0" w:line="360" w:lineRule="auto"/>
      </w:pPr>
      <w:r>
        <w:t xml:space="preserve">A fost utilizat un software pentru verificarea scrierii academice, disponibil la </w:t>
      </w:r>
      <w:hyperlink r:id="rId10" w:history="1">
        <w:r>
          <w:rPr>
            <w:rStyle w:val="Hyperlink"/>
          </w:rPr>
          <w:t>http://www.plagiarismdetector.com/</w:t>
        </w:r>
      </w:hyperlink>
      <w:r>
        <w:t>; teza a trecut verificarea critică;</w:t>
      </w:r>
    </w:p>
    <w:p w14:paraId="6E4F2078" w14:textId="77777777" w:rsidR="008149C0" w:rsidRDefault="008149C0" w:rsidP="00B34B59">
      <w:pPr>
        <w:pStyle w:val="NormalWeb"/>
        <w:numPr>
          <w:ilvl w:val="0"/>
          <w:numId w:val="10"/>
        </w:numPr>
        <w:spacing w:before="0" w:beforeAutospacing="0" w:after="0" w:afterAutospacing="0" w:line="360" w:lineRule="auto"/>
      </w:pPr>
      <w:r>
        <w:t>O copie a setului de date/bazei de date de cercetare a fost predată Departamentului/Școlii Doctorale.</w:t>
      </w:r>
    </w:p>
    <w:p w14:paraId="6C9D823E" w14:textId="77777777" w:rsidR="008149C0" w:rsidRDefault="008149C0" w:rsidP="00B34B59">
      <w:pPr>
        <w:pStyle w:val="NormalWeb"/>
        <w:spacing w:before="0" w:beforeAutospacing="0" w:after="0" w:afterAutospacing="0" w:line="360" w:lineRule="auto"/>
      </w:pPr>
      <w:r>
        <w:t>Semnătură electronică și dată pentru certificarea notelor:</w:t>
      </w:r>
    </w:p>
    <w:p w14:paraId="719A7F07" w14:textId="77777777" w:rsidR="008149C0" w:rsidRDefault="008149C0" w:rsidP="00B34B59">
      <w:pPr>
        <w:pStyle w:val="NormalWeb"/>
        <w:spacing w:before="0" w:beforeAutospacing="0" w:after="0" w:afterAutospacing="0" w:line="360" w:lineRule="auto"/>
      </w:pPr>
      <w:r>
        <w:t>Doctorandă ____________________</w:t>
      </w:r>
    </w:p>
    <w:p w14:paraId="4F082F25" w14:textId="77777777" w:rsidR="008149C0" w:rsidRDefault="008149C0" w:rsidP="00B34B59">
      <w:pPr>
        <w:pStyle w:val="NormalWeb"/>
        <w:spacing w:before="0" w:beforeAutospacing="0" w:after="0" w:afterAutospacing="0" w:line="360" w:lineRule="auto"/>
      </w:pPr>
    </w:p>
    <w:p w14:paraId="7CD236F8" w14:textId="77777777" w:rsidR="00B34B59" w:rsidRDefault="00B34B59" w:rsidP="00B34B59">
      <w:pPr>
        <w:pStyle w:val="NormalWeb"/>
        <w:spacing w:before="0" w:beforeAutospacing="0" w:after="0" w:afterAutospacing="0" w:line="360" w:lineRule="auto"/>
      </w:pPr>
    </w:p>
    <w:p w14:paraId="6BE2387E" w14:textId="77777777" w:rsidR="00B34B59" w:rsidRDefault="00B34B59" w:rsidP="00B34B59">
      <w:pPr>
        <w:pStyle w:val="NormalWeb"/>
        <w:spacing w:before="0" w:beforeAutospacing="0" w:after="0" w:afterAutospacing="0" w:line="360" w:lineRule="auto"/>
      </w:pPr>
    </w:p>
    <w:p w14:paraId="31371CBD" w14:textId="77777777" w:rsidR="00B34B59" w:rsidRDefault="00B34B59" w:rsidP="00B34B59">
      <w:pPr>
        <w:pStyle w:val="NormalWeb"/>
        <w:spacing w:before="0" w:beforeAutospacing="0" w:after="0" w:afterAutospacing="0" w:line="360" w:lineRule="auto"/>
      </w:pPr>
    </w:p>
    <w:p w14:paraId="4B40B2AF" w14:textId="77777777" w:rsidR="00B34B59" w:rsidRDefault="00B34B59" w:rsidP="00B34B59">
      <w:pPr>
        <w:pStyle w:val="NormalWeb"/>
        <w:spacing w:before="0" w:beforeAutospacing="0" w:after="0" w:afterAutospacing="0" w:line="360" w:lineRule="auto"/>
      </w:pPr>
    </w:p>
    <w:p w14:paraId="6C64BC88" w14:textId="77777777" w:rsidR="00B34B59" w:rsidRDefault="00B34B59" w:rsidP="00B34B59">
      <w:pPr>
        <w:pStyle w:val="NormalWeb"/>
        <w:spacing w:before="0" w:beforeAutospacing="0" w:after="0" w:afterAutospacing="0" w:line="360" w:lineRule="auto"/>
      </w:pPr>
    </w:p>
    <w:p w14:paraId="25664FD6" w14:textId="77777777" w:rsidR="00B34B59" w:rsidRDefault="00B34B59" w:rsidP="00B34B59">
      <w:pPr>
        <w:pStyle w:val="NormalWeb"/>
        <w:spacing w:before="0" w:beforeAutospacing="0" w:after="0" w:afterAutospacing="0" w:line="360" w:lineRule="auto"/>
      </w:pPr>
    </w:p>
    <w:p w14:paraId="79572A52" w14:textId="77777777" w:rsidR="00B34B59" w:rsidRDefault="00B34B59" w:rsidP="00B34B59">
      <w:pPr>
        <w:pStyle w:val="NormalWeb"/>
        <w:spacing w:before="0" w:beforeAutospacing="0" w:after="0" w:afterAutospacing="0" w:line="360" w:lineRule="auto"/>
      </w:pPr>
    </w:p>
    <w:p w14:paraId="25DECCBC" w14:textId="77777777" w:rsidR="00B34B59" w:rsidRDefault="00B34B59" w:rsidP="00B34B59">
      <w:pPr>
        <w:pStyle w:val="NormalWeb"/>
        <w:spacing w:before="0" w:beforeAutospacing="0" w:after="0" w:afterAutospacing="0" w:line="360" w:lineRule="auto"/>
      </w:pPr>
    </w:p>
    <w:p w14:paraId="7967ECEA" w14:textId="77777777" w:rsidR="00B34B59" w:rsidRDefault="00B34B59" w:rsidP="00B34B59">
      <w:pPr>
        <w:pStyle w:val="NormalWeb"/>
        <w:spacing w:before="0" w:beforeAutospacing="0" w:after="0" w:afterAutospacing="0" w:line="360" w:lineRule="auto"/>
      </w:pPr>
    </w:p>
    <w:p w14:paraId="3C027817" w14:textId="77777777" w:rsidR="00B34B59" w:rsidRDefault="00B34B59" w:rsidP="00B34B59">
      <w:pPr>
        <w:pStyle w:val="NormalWeb"/>
        <w:spacing w:before="0" w:beforeAutospacing="0" w:after="0" w:afterAutospacing="0" w:line="360" w:lineRule="auto"/>
      </w:pPr>
    </w:p>
    <w:p w14:paraId="550F357B" w14:textId="77777777" w:rsidR="00B34B59" w:rsidRDefault="00B34B59" w:rsidP="00B34B59">
      <w:pPr>
        <w:pStyle w:val="NormalWeb"/>
        <w:spacing w:before="0" w:beforeAutospacing="0" w:after="0" w:afterAutospacing="0" w:line="360" w:lineRule="auto"/>
      </w:pPr>
    </w:p>
    <w:p w14:paraId="289E8716" w14:textId="77777777" w:rsidR="00B34B59" w:rsidRDefault="00B34B59" w:rsidP="00B34B59">
      <w:pPr>
        <w:pStyle w:val="NormalWeb"/>
        <w:spacing w:before="0" w:beforeAutospacing="0" w:after="0" w:afterAutospacing="0" w:line="360" w:lineRule="auto"/>
      </w:pPr>
    </w:p>
    <w:p w14:paraId="7977F1E8" w14:textId="77777777" w:rsidR="00B34B59" w:rsidRDefault="00B34B59" w:rsidP="00B34B59">
      <w:pPr>
        <w:pStyle w:val="NormalWeb"/>
        <w:spacing w:before="0" w:beforeAutospacing="0" w:after="0" w:afterAutospacing="0" w:line="360" w:lineRule="auto"/>
      </w:pPr>
    </w:p>
    <w:p w14:paraId="4B634DF9" w14:textId="77777777" w:rsidR="00B34B59" w:rsidRDefault="00B34B59" w:rsidP="00B34B59">
      <w:pPr>
        <w:pStyle w:val="NormalWeb"/>
        <w:spacing w:before="0" w:beforeAutospacing="0" w:after="0" w:afterAutospacing="0" w:line="360" w:lineRule="auto"/>
      </w:pPr>
    </w:p>
    <w:p w14:paraId="613019DC" w14:textId="77777777" w:rsidR="00B34B59" w:rsidRDefault="00B34B59" w:rsidP="00B34B59">
      <w:pPr>
        <w:pStyle w:val="NormalWeb"/>
        <w:spacing w:before="0" w:beforeAutospacing="0" w:after="0" w:afterAutospacing="0" w:line="360" w:lineRule="auto"/>
      </w:pPr>
    </w:p>
    <w:p w14:paraId="419766CB" w14:textId="77777777" w:rsidR="00B34B59" w:rsidRDefault="00B34B59" w:rsidP="00B34B59">
      <w:pPr>
        <w:pStyle w:val="NormalWeb"/>
        <w:spacing w:before="0" w:beforeAutospacing="0" w:after="0" w:afterAutospacing="0" w:line="360" w:lineRule="auto"/>
      </w:pPr>
    </w:p>
    <w:p w14:paraId="47D60130" w14:textId="77777777" w:rsidR="00B34B59" w:rsidRDefault="00B34B59" w:rsidP="00B34B59">
      <w:pPr>
        <w:pStyle w:val="NormalWeb"/>
        <w:spacing w:before="0" w:beforeAutospacing="0" w:after="0" w:afterAutospacing="0" w:line="360" w:lineRule="auto"/>
      </w:pPr>
    </w:p>
    <w:p w14:paraId="101899B8" w14:textId="77777777" w:rsidR="00B34B59" w:rsidRDefault="00B34B59" w:rsidP="00B34B59">
      <w:pPr>
        <w:pStyle w:val="NormalWeb"/>
        <w:spacing w:before="0" w:beforeAutospacing="0" w:after="0" w:afterAutospacing="0" w:line="360" w:lineRule="auto"/>
      </w:pPr>
    </w:p>
    <w:p w14:paraId="65ABB2BC" w14:textId="77777777" w:rsidR="00B34B59" w:rsidRDefault="00B34B59" w:rsidP="00B34B59">
      <w:pPr>
        <w:pStyle w:val="NormalWeb"/>
        <w:spacing w:before="0" w:beforeAutospacing="0" w:after="0" w:afterAutospacing="0" w:line="360" w:lineRule="auto"/>
      </w:pPr>
    </w:p>
    <w:p w14:paraId="790C8739" w14:textId="77777777" w:rsidR="00B34B59" w:rsidRDefault="00B34B59" w:rsidP="00B34B59">
      <w:pPr>
        <w:pStyle w:val="NormalWeb"/>
        <w:spacing w:before="0" w:beforeAutospacing="0" w:after="0" w:afterAutospacing="0" w:line="360" w:lineRule="auto"/>
      </w:pPr>
    </w:p>
    <w:p w14:paraId="252B7DFC" w14:textId="77777777" w:rsidR="00B34B59" w:rsidRDefault="00B34B59" w:rsidP="00B34B59">
      <w:pPr>
        <w:pStyle w:val="NormalWeb"/>
        <w:spacing w:before="0" w:beforeAutospacing="0" w:after="0" w:afterAutospacing="0" w:line="360" w:lineRule="auto"/>
      </w:pPr>
    </w:p>
    <w:p w14:paraId="08DF87D2" w14:textId="77777777" w:rsidR="00B34B59" w:rsidRDefault="00B34B59" w:rsidP="00B34B59">
      <w:pPr>
        <w:pStyle w:val="NormalWeb"/>
        <w:spacing w:before="0" w:beforeAutospacing="0" w:after="0" w:afterAutospacing="0" w:line="360" w:lineRule="auto"/>
      </w:pPr>
    </w:p>
    <w:p w14:paraId="3DDB24DC" w14:textId="77777777" w:rsidR="00B34B59" w:rsidRDefault="00B34B59" w:rsidP="00B34B59">
      <w:pPr>
        <w:pStyle w:val="NormalWeb"/>
        <w:spacing w:before="0" w:beforeAutospacing="0" w:after="0" w:afterAutospacing="0" w:line="360" w:lineRule="auto"/>
      </w:pPr>
    </w:p>
    <w:p w14:paraId="0805852C" w14:textId="0BB88E16" w:rsidR="00762E5F" w:rsidRPr="008149C0" w:rsidRDefault="004B6DA2" w:rsidP="004B6DA2">
      <w:pPr>
        <w:pStyle w:val="Heading1"/>
        <w:spacing w:after="0" w:line="360" w:lineRule="auto"/>
        <w:jc w:val="center"/>
        <w:rPr>
          <w:color w:val="000000" w:themeColor="text1"/>
        </w:rPr>
      </w:pPr>
      <w:r>
        <w:rPr>
          <w:rFonts w:ascii="Times New Roman" w:eastAsia="Times New Roman" w:hAnsi="Times New Roman"/>
          <w:color w:val="000000" w:themeColor="text1"/>
        </w:rPr>
        <w:t>CUPRINS</w:t>
      </w:r>
    </w:p>
    <w:p w14:paraId="56D29D95" w14:textId="77777777" w:rsidR="00762E5F" w:rsidRDefault="00000000" w:rsidP="00B34B59">
      <w:pPr>
        <w:spacing w:after="0" w:line="360" w:lineRule="auto"/>
      </w:pPr>
      <w:r>
        <w:rPr>
          <w:b/>
        </w:rPr>
        <w:t>CAPITOLUL I. CADRUL TEORETIC</w:t>
      </w:r>
    </w:p>
    <w:p w14:paraId="68F44A99" w14:textId="77777777" w:rsidR="00762E5F" w:rsidRDefault="00000000" w:rsidP="00B34B59">
      <w:pPr>
        <w:spacing w:after="0" w:line="360" w:lineRule="auto"/>
      </w:pPr>
      <w:r>
        <w:t>1.1. Cadru general</w:t>
      </w:r>
    </w:p>
    <w:p w14:paraId="7EDEB7E1" w14:textId="77777777" w:rsidR="00762E5F" w:rsidRDefault="00000000" w:rsidP="00B34B59">
      <w:pPr>
        <w:spacing w:after="0" w:line="360" w:lineRule="auto"/>
      </w:pPr>
      <w:r>
        <w:t>1.2. Relația terapeutică dintr-o perspectivă bazată pe dovezi</w:t>
      </w:r>
    </w:p>
    <w:p w14:paraId="41412CF2" w14:textId="77777777" w:rsidR="00762E5F" w:rsidRDefault="00000000" w:rsidP="00B34B59">
      <w:pPr>
        <w:spacing w:after="0" w:line="360" w:lineRule="auto"/>
      </w:pPr>
      <w:r>
        <w:t>1.3. Formarea viitorilor psihoterapeuți și practica bazată pe dovezi</w:t>
      </w:r>
    </w:p>
    <w:p w14:paraId="7C6623A4" w14:textId="77777777" w:rsidR="00762E5F" w:rsidRDefault="00000000" w:rsidP="00B34B59">
      <w:pPr>
        <w:spacing w:after="0" w:line="360" w:lineRule="auto"/>
        <w:jc w:val="both"/>
      </w:pPr>
      <w:r>
        <w:t>1.4. Realitatea virtuală în intervențiile psihologice și în programele de training</w:t>
      </w:r>
    </w:p>
    <w:p w14:paraId="757241B6" w14:textId="77777777" w:rsidR="00762E5F" w:rsidRDefault="00000000" w:rsidP="00B34B59">
      <w:pPr>
        <w:spacing w:after="0" w:line="360" w:lineRule="auto"/>
      </w:pPr>
      <w:r>
        <w:t>1.5. Prezența și afectul pozitiv în intervențiile bazate pe realitate virtuală</w:t>
      </w:r>
    </w:p>
    <w:p w14:paraId="3B4FDC21" w14:textId="77777777" w:rsidR="00762E5F" w:rsidRDefault="00000000" w:rsidP="00B34B59">
      <w:pPr>
        <w:spacing w:after="0" w:line="360" w:lineRule="auto"/>
      </w:pPr>
      <w:r>
        <w:rPr>
          <w:b/>
        </w:rPr>
        <w:t>CAPITOLUL II. OBIECTIVELE CERCETĂRII ȘI STRATEGIA METODOLOGICĂ GENERALĂ</w:t>
      </w:r>
    </w:p>
    <w:p w14:paraId="01BC9EF5" w14:textId="77777777" w:rsidR="00762E5F" w:rsidRDefault="00000000" w:rsidP="00B34B59">
      <w:pPr>
        <w:spacing w:after="0" w:line="360" w:lineRule="auto"/>
      </w:pPr>
      <w:r>
        <w:rPr>
          <w:b/>
        </w:rPr>
        <w:t>CAPITOLUL III. CERCETAREA ORIGINALĂ</w:t>
      </w:r>
    </w:p>
    <w:p w14:paraId="3C2ABCA0" w14:textId="77777777" w:rsidR="00762E5F" w:rsidRPr="00CC72B5" w:rsidRDefault="00000000" w:rsidP="00B34B59">
      <w:pPr>
        <w:spacing w:after="0" w:line="360" w:lineRule="auto"/>
        <w:jc w:val="both"/>
        <w:rPr>
          <w:bCs/>
        </w:rPr>
      </w:pPr>
      <w:r w:rsidRPr="00CC72B5">
        <w:rPr>
          <w:bCs/>
        </w:rPr>
        <w:t>3.1. Studiul 1. Efectul intervențiilor psihologice bazate pe realitate virtuală asupra afectului pozitiv: revizuire sistematică și meta-analiză</w:t>
      </w:r>
    </w:p>
    <w:p w14:paraId="4E9312A1" w14:textId="77777777" w:rsidR="00762E5F" w:rsidRPr="00CC72B5" w:rsidRDefault="00000000" w:rsidP="00B34B59">
      <w:pPr>
        <w:spacing w:after="0" w:line="360" w:lineRule="auto"/>
        <w:jc w:val="both"/>
        <w:rPr>
          <w:bCs/>
        </w:rPr>
      </w:pPr>
      <w:r w:rsidRPr="00CC72B5">
        <w:rPr>
          <w:bCs/>
        </w:rPr>
        <w:t>3.2. Studiul 2. Fezabilitatea și utilizabilitatea unui training VR pentru abilități</w:t>
      </w:r>
      <w:r w:rsidR="008149C0" w:rsidRPr="00CC72B5">
        <w:rPr>
          <w:bCs/>
        </w:rPr>
        <w:t>le</w:t>
      </w:r>
      <w:r w:rsidRPr="00CC72B5">
        <w:rPr>
          <w:bCs/>
        </w:rPr>
        <w:t xml:space="preserve"> relație</w:t>
      </w:r>
      <w:r w:rsidR="008149C0" w:rsidRPr="00CC72B5">
        <w:rPr>
          <w:bCs/>
        </w:rPr>
        <w:t>i</w:t>
      </w:r>
      <w:r w:rsidRPr="00CC72B5">
        <w:rPr>
          <w:bCs/>
        </w:rPr>
        <w:t xml:space="preserve"> terapeutic</w:t>
      </w:r>
      <w:r w:rsidR="008149C0" w:rsidRPr="00CC72B5">
        <w:rPr>
          <w:bCs/>
        </w:rPr>
        <w:t>e</w:t>
      </w:r>
      <w:r w:rsidRPr="00CC72B5">
        <w:rPr>
          <w:bCs/>
        </w:rPr>
        <w:t xml:space="preserve"> la viitorii psihoterapeuți: studiu pilot</w:t>
      </w:r>
    </w:p>
    <w:p w14:paraId="7B3E866C" w14:textId="77777777" w:rsidR="00762E5F" w:rsidRPr="00CC72B5" w:rsidRDefault="00000000" w:rsidP="00B34B59">
      <w:pPr>
        <w:spacing w:after="0" w:line="360" w:lineRule="auto"/>
        <w:jc w:val="both"/>
        <w:rPr>
          <w:bCs/>
        </w:rPr>
      </w:pPr>
      <w:r w:rsidRPr="00CC72B5">
        <w:rPr>
          <w:bCs/>
        </w:rPr>
        <w:t>3.3. Studiul 3. Traducerea și validarea versiunii românești a</w:t>
      </w:r>
      <w:r>
        <w:rPr>
          <w:bCs/>
        </w:rPr>
        <w:t xml:space="preserve"> </w:t>
      </w:r>
      <w:r w:rsidRPr="00B34B59">
        <w:rPr>
          <w:bCs/>
          <w:iCs/>
        </w:rPr>
        <w:t>ITC-Sense of Presence Inventory (ITC-SOPI)</w:t>
      </w:r>
      <w:r>
        <w:rPr>
          <w:bCs/>
        </w:rPr>
        <w:t xml:space="preserve"> </w:t>
      </w:r>
      <w:r w:rsidRPr="00CC72B5">
        <w:rPr>
          <w:bCs/>
        </w:rPr>
        <w:t>pentru evaluarea prezenței în realitatea virtuală</w:t>
      </w:r>
    </w:p>
    <w:p w14:paraId="28B7D891" w14:textId="77777777" w:rsidR="00762E5F" w:rsidRPr="00CC72B5" w:rsidRDefault="00000000" w:rsidP="00B34B59">
      <w:pPr>
        <w:spacing w:after="0" w:line="360" w:lineRule="auto"/>
        <w:jc w:val="both"/>
        <w:rPr>
          <w:bCs/>
        </w:rPr>
      </w:pPr>
      <w:r w:rsidRPr="00CC72B5">
        <w:rPr>
          <w:bCs/>
        </w:rPr>
        <w:t>3.4. Studiul 4. Trainingul bazat pe realitate virtuală pentru dezvoltarea abilităților relație</w:t>
      </w:r>
      <w:r w:rsidR="008149C0" w:rsidRPr="00CC72B5">
        <w:rPr>
          <w:bCs/>
        </w:rPr>
        <w:t>i</w:t>
      </w:r>
      <w:r w:rsidRPr="00CC72B5">
        <w:rPr>
          <w:bCs/>
        </w:rPr>
        <w:t xml:space="preserve"> terapeutic</w:t>
      </w:r>
      <w:r w:rsidR="008149C0" w:rsidRPr="00CC72B5">
        <w:rPr>
          <w:bCs/>
        </w:rPr>
        <w:t>e</w:t>
      </w:r>
      <w:r w:rsidRPr="00CC72B5">
        <w:rPr>
          <w:bCs/>
        </w:rPr>
        <w:t xml:space="preserve"> la viitorii psihoterapeuți: </w:t>
      </w:r>
      <w:r w:rsidR="00867D79" w:rsidRPr="00CC72B5">
        <w:rPr>
          <w:bCs/>
        </w:rPr>
        <w:t xml:space="preserve">un </w:t>
      </w:r>
      <w:r w:rsidR="008149C0" w:rsidRPr="00CC72B5">
        <w:rPr>
          <w:bCs/>
        </w:rPr>
        <w:t xml:space="preserve">studiu pilot </w:t>
      </w:r>
      <w:r w:rsidR="00867D79" w:rsidRPr="00CC72B5">
        <w:rPr>
          <w:bCs/>
        </w:rPr>
        <w:t>randomizat</w:t>
      </w:r>
      <w:r w:rsidR="008149C0" w:rsidRPr="00CC72B5">
        <w:rPr>
          <w:bCs/>
        </w:rPr>
        <w:t xml:space="preserve"> controlat</w:t>
      </w:r>
    </w:p>
    <w:p w14:paraId="2FFC0BEB" w14:textId="77777777" w:rsidR="00762E5F" w:rsidRDefault="00000000" w:rsidP="00B34B59">
      <w:pPr>
        <w:spacing w:after="0" w:line="360" w:lineRule="auto"/>
      </w:pPr>
      <w:r>
        <w:rPr>
          <w:b/>
        </w:rPr>
        <w:t>CAPITOLUL IV. DISCUȚII GENERALE: CONCLUZII ȘI IMPLICAȚII</w:t>
      </w:r>
    </w:p>
    <w:p w14:paraId="7361F6A8" w14:textId="77777777" w:rsidR="00762E5F" w:rsidRPr="004B6DA2" w:rsidRDefault="00000000" w:rsidP="00B34B59">
      <w:pPr>
        <w:spacing w:after="0" w:line="360" w:lineRule="auto"/>
        <w:rPr>
          <w:bCs/>
        </w:rPr>
      </w:pPr>
      <w:r w:rsidRPr="004B6DA2">
        <w:rPr>
          <w:bCs/>
        </w:rPr>
        <w:t>4.1. Concluzii generale</w:t>
      </w:r>
    </w:p>
    <w:p w14:paraId="10408564" w14:textId="77777777" w:rsidR="00762E5F" w:rsidRPr="004B6DA2" w:rsidRDefault="00000000" w:rsidP="00B34B59">
      <w:pPr>
        <w:spacing w:after="0" w:line="360" w:lineRule="auto"/>
        <w:rPr>
          <w:bCs/>
        </w:rPr>
      </w:pPr>
      <w:r w:rsidRPr="004B6DA2">
        <w:rPr>
          <w:bCs/>
        </w:rPr>
        <w:t>4.2. Implicații teoretice și conceptuale</w:t>
      </w:r>
    </w:p>
    <w:p w14:paraId="164A18A2" w14:textId="77777777" w:rsidR="00762E5F" w:rsidRPr="004B6DA2" w:rsidRDefault="00000000" w:rsidP="00B34B59">
      <w:pPr>
        <w:spacing w:after="0" w:line="360" w:lineRule="auto"/>
        <w:rPr>
          <w:bCs/>
        </w:rPr>
      </w:pPr>
      <w:r w:rsidRPr="004B6DA2">
        <w:rPr>
          <w:bCs/>
        </w:rPr>
        <w:t>4.3. Implicații clinice și practice</w:t>
      </w:r>
    </w:p>
    <w:p w14:paraId="339FC762" w14:textId="77777777" w:rsidR="00762E5F" w:rsidRPr="004B6DA2" w:rsidRDefault="00000000" w:rsidP="00B34B59">
      <w:pPr>
        <w:spacing w:after="0" w:line="360" w:lineRule="auto"/>
        <w:rPr>
          <w:bCs/>
        </w:rPr>
      </w:pPr>
      <w:r w:rsidRPr="004B6DA2">
        <w:rPr>
          <w:bCs/>
        </w:rPr>
        <w:t>4.4. Inovații metodologice</w:t>
      </w:r>
    </w:p>
    <w:p w14:paraId="13B0CDDA" w14:textId="77777777" w:rsidR="00762E5F" w:rsidRPr="004B6DA2" w:rsidRDefault="00000000" w:rsidP="00B34B59">
      <w:pPr>
        <w:spacing w:after="0" w:line="360" w:lineRule="auto"/>
        <w:rPr>
          <w:bCs/>
        </w:rPr>
      </w:pPr>
      <w:r w:rsidRPr="004B6DA2">
        <w:rPr>
          <w:bCs/>
        </w:rPr>
        <w:t>4.5. Limite și direcții viitoare</w:t>
      </w:r>
    </w:p>
    <w:p w14:paraId="00D5D01C" w14:textId="77777777" w:rsidR="00762E5F" w:rsidRDefault="00000000" w:rsidP="00B34B59">
      <w:pPr>
        <w:spacing w:after="0" w:line="360" w:lineRule="auto"/>
        <w:rPr>
          <w:b/>
        </w:rPr>
      </w:pPr>
      <w:r>
        <w:rPr>
          <w:b/>
        </w:rPr>
        <w:t>REFERINȚE SELECTATE</w:t>
      </w:r>
    </w:p>
    <w:p w14:paraId="259D6038" w14:textId="77777777" w:rsidR="00867D79" w:rsidRDefault="00867D79" w:rsidP="00B34B59">
      <w:pPr>
        <w:spacing w:after="0" w:line="360" w:lineRule="auto"/>
      </w:pPr>
    </w:p>
    <w:p w14:paraId="6038E192" w14:textId="6DA1ACF8" w:rsidR="00D0698A" w:rsidRDefault="00000000" w:rsidP="00D0698A">
      <w:pPr>
        <w:spacing w:after="0" w:line="360" w:lineRule="auto"/>
        <w:jc w:val="both"/>
      </w:pPr>
      <w:r w:rsidRPr="00867D79">
        <w:rPr>
          <w:b/>
          <w:bCs/>
        </w:rPr>
        <w:t>Cuvinte-cheie:</w:t>
      </w:r>
      <w:r>
        <w:t xml:space="preserve"> realitate virtuală; relație terapeutică; formarea psihoterapeuților; empatie; alianță terapeutică; prezență; afect pozitiv</w:t>
      </w:r>
      <w:r w:rsidR="00D0698A">
        <w:t>.</w:t>
      </w:r>
    </w:p>
    <w:p w14:paraId="74AB515A" w14:textId="77777777" w:rsidR="00D0698A" w:rsidRDefault="00D0698A" w:rsidP="00D0698A">
      <w:pPr>
        <w:spacing w:after="0" w:line="360" w:lineRule="auto"/>
        <w:jc w:val="both"/>
      </w:pPr>
    </w:p>
    <w:p w14:paraId="662712A4" w14:textId="77777777" w:rsidR="00D0698A" w:rsidRDefault="00D0698A" w:rsidP="00D0698A">
      <w:pPr>
        <w:spacing w:after="0" w:line="360" w:lineRule="auto"/>
        <w:jc w:val="both"/>
      </w:pPr>
    </w:p>
    <w:p w14:paraId="0604DA0F" w14:textId="77777777" w:rsidR="00D0698A" w:rsidRDefault="00D0698A" w:rsidP="00D0698A">
      <w:pPr>
        <w:spacing w:after="0" w:line="360" w:lineRule="auto"/>
        <w:jc w:val="both"/>
      </w:pPr>
    </w:p>
    <w:p w14:paraId="2873DA00" w14:textId="023107B2" w:rsidR="00762E5F" w:rsidRDefault="00D0698A" w:rsidP="004B6DA2">
      <w:pPr>
        <w:pStyle w:val="Heading1"/>
        <w:spacing w:before="0" w:after="0" w:line="360" w:lineRule="auto"/>
        <w:jc w:val="center"/>
        <w:rPr>
          <w:rFonts w:ascii="Times New Roman" w:eastAsia="Times New Roman" w:hAnsi="Times New Roman"/>
          <w:color w:val="000000" w:themeColor="text1"/>
        </w:rPr>
      </w:pPr>
      <w:r>
        <w:rPr>
          <w:rFonts w:ascii="Times New Roman" w:eastAsia="Times New Roman" w:hAnsi="Times New Roman"/>
          <w:color w:val="000000" w:themeColor="text1"/>
        </w:rPr>
        <w:t>C</w:t>
      </w:r>
      <w:r w:rsidRPr="00867D79">
        <w:rPr>
          <w:rFonts w:ascii="Times New Roman" w:eastAsia="Times New Roman" w:hAnsi="Times New Roman"/>
          <w:color w:val="000000" w:themeColor="text1"/>
        </w:rPr>
        <w:t>APITOLUL I. CADRUL TEORETIC</w:t>
      </w:r>
    </w:p>
    <w:p w14:paraId="51928589" w14:textId="77777777" w:rsidR="00D0698A" w:rsidRPr="00D0698A" w:rsidRDefault="00D0698A" w:rsidP="00D0698A"/>
    <w:p w14:paraId="7F7F07F0" w14:textId="77777777" w:rsidR="00725B35" w:rsidRPr="00725B35" w:rsidRDefault="00725B35" w:rsidP="004B6DA2">
      <w:pPr>
        <w:pStyle w:val="isselectedend"/>
        <w:spacing w:before="0" w:beforeAutospacing="0" w:after="0" w:afterAutospacing="0" w:line="360" w:lineRule="auto"/>
        <w:jc w:val="both"/>
        <w:rPr>
          <w:i/>
          <w:iCs/>
        </w:rPr>
      </w:pPr>
      <w:r>
        <w:tab/>
        <w:t xml:space="preserve">Teza de față integrează trei direcții majore de cercetare: psihologia clinică și psihoterapia bazată pe dovezi, formarea profesională a viitorilor psihoterapeuți și utilizarea realității virtuale în psihologie. Aceste trei direcții converg într-o întrebare aplicată: în ce măsură un mediu virtual poate sprijini dezvoltarea unor abilități relaționale relevante pentru practica psihoterapeutică? Obiectivul principal al tezei este proiectarea și evaluarea empirică a aplicației </w:t>
      </w:r>
      <w:r>
        <w:rPr>
          <w:i/>
          <w:iCs/>
        </w:rPr>
        <w:t>Future Psychotherapists.</w:t>
      </w:r>
    </w:p>
    <w:p w14:paraId="47608F81" w14:textId="77777777" w:rsidR="00725B35" w:rsidRDefault="00725B35" w:rsidP="004B6DA2">
      <w:pPr>
        <w:pStyle w:val="isselectedend"/>
        <w:spacing w:before="0" w:beforeAutospacing="0" w:after="0" w:afterAutospacing="0" w:line="360" w:lineRule="auto"/>
        <w:jc w:val="both"/>
      </w:pPr>
      <w:r>
        <w:tab/>
        <w:t>Primul fundament teoretic legat de această întrebare este oferit de literatura privind relația terapeutică. În psihoterapia contemporană, relația terapeutică nu mai este privită ca un element auxiliar al tratamentului, ci ca o componentă distinctă a procesului terapeutic, care influențează atât desfășurarea psihoterapiei, cât și rezultatele acesteia (Gelso, 2014). Cercetările bazate pe dovezi au arătat că relația dintre terapeut și client contribuie semnificativ la rezultatul psihoterapiei (Norcross &amp; Karpiak, 2025). Astfel, ea este conceptualizată ca factor transteoretic și, în mare măsură, transdiagnostic, deoarece își păstrează relevanța în contexte clinice variate și pentru probleme psihologice diferite (Norcross &amp; Karpiak, 2025).</w:t>
      </w:r>
    </w:p>
    <w:p w14:paraId="5E6E1184" w14:textId="77777777" w:rsidR="00725B35" w:rsidRDefault="00725B35" w:rsidP="00B34B59">
      <w:pPr>
        <w:pStyle w:val="isselectedend"/>
        <w:spacing w:before="0" w:beforeAutospacing="0" w:after="0" w:afterAutospacing="0" w:line="360" w:lineRule="auto"/>
        <w:jc w:val="both"/>
      </w:pPr>
      <w:r>
        <w:tab/>
        <w:t>În sens larg, relația terapeutică cuprinde atitudinile interpersonale și răspunsurile afective care apar între psihoterapeut și client, precum și modalitățile prin care acestea sunt transmise în interacțiunea clinică (Gelso &amp; Carter, 1985; Gelso, 2014; Norcross &amp; Lambert, 2018). Această definiție pune accent pe natura relațională a psihoterapiei și pe faptul că schimbarea nu se produce exclusiv prin tehnici izolate, ci în cadrul unei relații în care clientul se simte înțeles, susținut și implicat în munca terapeutică. În acest context, empatia și alianța terapeutică sunt componente centrale prin care relația terapeutică este exprimată în practica psihoterapeutică (Norcross, 2011; Norcross &amp; Lambert, 2018).</w:t>
      </w:r>
    </w:p>
    <w:p w14:paraId="3FA2E3FF" w14:textId="4B08FE29" w:rsidR="00725B35" w:rsidRDefault="00725B35" w:rsidP="00B34B59">
      <w:pPr>
        <w:pStyle w:val="isselectedend"/>
        <w:spacing w:before="0" w:beforeAutospacing="0" w:after="0" w:afterAutospacing="0" w:line="360" w:lineRule="auto"/>
        <w:jc w:val="both"/>
      </w:pPr>
      <w:r>
        <w:tab/>
        <w:t>Empatia psihoterapeutului se referă la capacitatea de a înțelege gândurile, emoțiile, motivațiile sau comportamentele clientului din perspectiva acestuia (American Psychological Association, 2023). În psihoterapie, empatia terapeutului este asociată cu rezultatul psihoterapiei (Elliott et al., 2018), iar empatia clinică a fost descrisă ca având funcții importante în înțelegerea clientului, comunicarea obligației etice și susținerea schimbării (Levitt et al., 2022). În studiile empirice ale tezei, empatia ca stare este văzută din perspectiva dimensiunilor acesteia (afectivă, cognitivă și asociativă).</w:t>
      </w:r>
    </w:p>
    <w:p w14:paraId="67118ED1" w14:textId="77777777" w:rsidR="00725B35" w:rsidRDefault="00725B35" w:rsidP="00B34B59">
      <w:pPr>
        <w:pStyle w:val="isselectedend"/>
        <w:spacing w:before="0" w:beforeAutospacing="0" w:after="0" w:afterAutospacing="0" w:line="360" w:lineRule="auto"/>
        <w:jc w:val="both"/>
      </w:pPr>
      <w:r>
        <w:tab/>
        <w:t>Alianța terapeutică se referă la relația de colaborare dintre terapeut și client și include, în formularea clasică, trei componente: acordul asupra obiectivelor terapiei, acordul asupra sarcinilor terapeutice și dezvoltarea unei legături interpersonale (Bordin, 1979). Cercetările meta-analitice au arătat că alianța terapeutică este asociată constant cu rezultatul psihoterapiei (Flückiger et al., 2018). În practica clinică, aceste dimensiuni sunt interdependente</w:t>
      </w:r>
      <w:r w:rsidR="00DB5015">
        <w:t>, iar</w:t>
      </w:r>
      <w:r>
        <w:t xml:space="preserve"> terapeutul trebuie să ajute clientul să înțeleagă scopul intervenției, să participe la sarcinile terapeutice și să se simtă în siguranță în relație.</w:t>
      </w:r>
    </w:p>
    <w:p w14:paraId="27A0D852" w14:textId="77777777" w:rsidR="00725B35" w:rsidRDefault="00725B35" w:rsidP="00B34B59">
      <w:pPr>
        <w:pStyle w:val="isselectedend"/>
        <w:spacing w:before="0" w:beforeAutospacing="0" w:after="0" w:afterAutospacing="0" w:line="360" w:lineRule="auto"/>
        <w:jc w:val="both"/>
      </w:pPr>
      <w:r>
        <w:tab/>
        <w:t>Al doilea fundament teoretic al tezei provine din literatura de specialitate care vizează formarea psihoterapeuților. Acest proces nu înseamnă doar acumularea de informații teoretice sau învățarea unor tehnici, ci dezvoltarea profesională continuă, care implică schimbări în identitatea vocațională, în capacitatea de autoreflecție, în reglarea emoțională, în funcționarea interpersonală și în abilitatea de a integra cunoștințe, valori și comportamente clinice (Carlsson, 2012; Rønnestad et al., 2019). Traiectoria formării este graduală: la început, viitorii psihoterapeuți pot avea entuziasm, dar și anxietate, îndoieli și o nevoie crescută de structură; pe parcurs, experiența clinică și supervizarea favorizează o înțelegere mai nuanțată și mai autonomă a psihoterapiei (Carlsson, 2012; Rønnestad et al., 2019; Rønnestad et al., 2025).</w:t>
      </w:r>
    </w:p>
    <w:p w14:paraId="609786F2" w14:textId="559D2C55" w:rsidR="00725B35" w:rsidRDefault="00725B35" w:rsidP="00B34B59">
      <w:pPr>
        <w:pStyle w:val="isselectedend"/>
        <w:spacing w:before="0" w:beforeAutospacing="0" w:after="0" w:afterAutospacing="0" w:line="360" w:lineRule="auto"/>
        <w:jc w:val="both"/>
      </w:pPr>
      <w:r>
        <w:tab/>
        <w:t>Literatura privind formarea psihoterapeuților arată că experiențele active sunt deosebit de importante. Supervizarea, jocul de rol, practica deliberată, analiza secvențelor de interacțiune, feedback</w:t>
      </w:r>
      <w:r w:rsidR="00A77F24">
        <w:t>-</w:t>
      </w:r>
      <w:r>
        <w:t>ul și reflecția pot susține dezvoltarea competențelor terapeutice mai mult decât formatele exclusiv didactice (Rønning &amp; Bjørkly, 2019). Din perspectiva practicii bazate pe dovezi, training</w:t>
      </w:r>
      <w:r w:rsidR="00A77F24">
        <w:t>-</w:t>
      </w:r>
      <w:r>
        <w:t xml:space="preserve">ul este mai probabil să modifice comportamentul terapeutului atunci când include componente de învățare activă, consultare și feedback (Beidas &amp; Kendall, 2010; Frank et al., 2020). Această concluzie este relevantă pentru teza de față, deoarece aplicația </w:t>
      </w:r>
      <w:r>
        <w:rPr>
          <w:i/>
          <w:iCs/>
        </w:rPr>
        <w:t>Future Psychotherapists</w:t>
      </w:r>
      <w:r>
        <w:t xml:space="preserve"> a fost concepută ca instrument de practică structurată și nu ca material informativ pasiv.</w:t>
      </w:r>
    </w:p>
    <w:p w14:paraId="3020E4DB" w14:textId="77777777" w:rsidR="00725B35" w:rsidRDefault="00725B35" w:rsidP="00B34B59">
      <w:pPr>
        <w:pStyle w:val="isselectedend"/>
        <w:spacing w:before="0" w:beforeAutospacing="0" w:after="0" w:afterAutospacing="0" w:line="360" w:lineRule="auto"/>
        <w:jc w:val="both"/>
      </w:pPr>
      <w:r>
        <w:tab/>
        <w:t>De asemenea, ideea de bază a acestei lucrări este susținută și de o dificultate importantă în formarea viitorilor psihoterapeuți: decalajul dintre cunoașterea teoretică și practica reală (Rosén, 2019). Studenții pot învăța concepte precum empatia sau alianța terapeutică, dar pot avea puține contexte sigure în care să exerseze răspunsuri terapeutice, să greșească fără consecințe clinice și să primească feedback imediat. Jocul de rol și lucrul cu pacienți standardizați sunt metode utile, însă pot presupune costuri, disponibilitate limitată sau variații în standardizarea scenariilor.</w:t>
      </w:r>
    </w:p>
    <w:p w14:paraId="78F87175" w14:textId="77777777" w:rsidR="00725B35" w:rsidRDefault="00DB5015" w:rsidP="00B34B59">
      <w:pPr>
        <w:pStyle w:val="isselectedend"/>
        <w:spacing w:before="0" w:beforeAutospacing="0" w:after="0" w:afterAutospacing="0" w:line="360" w:lineRule="auto"/>
        <w:jc w:val="both"/>
      </w:pPr>
      <w:r>
        <w:tab/>
      </w:r>
      <w:r w:rsidR="00725B35">
        <w:t>Din acest motiv, mediile virtuale pot reprezenta o soluție complementară, al treilea fundament teoretic fiind oferit de literatura de specialitate privind intervențiile psihologice bazate pe realitatea virtuală. Realitatea virtuală permite crearea unor medii imersive, controlate și repetabile, în care utilizatorii pot interacționa cu situații simulate. Mediile virtuale au fost descrise ca utile pentru situații de învățare dificil de implementat în context real din cauza distanței, timpului, costurilor, riscurilor sau constrângerilor practice (Chittaro &amp; Ranon, 2007). În psihologie, VR a fost utilizată atât în intervenții psihologice, cât și în contexte de training profesional (Bell et al., 2020; Howard et al., 2021; Pedram &amp; Piatkowski, 2025).</w:t>
      </w:r>
    </w:p>
    <w:p w14:paraId="6E2595C7" w14:textId="77777777" w:rsidR="00725B35" w:rsidRDefault="00725B35" w:rsidP="00B34B59">
      <w:pPr>
        <w:pStyle w:val="isselectedend"/>
        <w:spacing w:before="0" w:beforeAutospacing="0" w:after="0" w:afterAutospacing="0" w:line="360" w:lineRule="auto"/>
        <w:jc w:val="both"/>
      </w:pPr>
      <w:r>
        <w:tab/>
        <w:t>În același timp, teza nu pornește de la presupunerea că orice aplicație VR este eficientă prin simplul fapt că este imersivă. Eficiența unui training VR depinde de potrivirea dintre sarcina de învățare și tehnologie (Howard et al., 2021), de interactivitate și structurare pedagogică (Oje et al., 2025), precum și de mecanisme</w:t>
      </w:r>
      <w:r w:rsidR="00DB5015">
        <w:t>le</w:t>
      </w:r>
      <w:r>
        <w:t xml:space="preserve"> de evaluare, feedback și analiză a acțiunilor utilizatorului (Tusher et al., 2024). În plus, realismul vizual nu este suficient în sine, deoarece rezultatele învățării depind de interacțiunea dintre prezență, afect și încărc</w:t>
      </w:r>
      <w:r w:rsidR="00DB5015">
        <w:t xml:space="preserve">ătura </w:t>
      </w:r>
      <w:r>
        <w:t>cognitivă (Makransky &amp; Petersen, 2021).</w:t>
      </w:r>
    </w:p>
    <w:p w14:paraId="32EFF24C" w14:textId="77777777" w:rsidR="00725B35" w:rsidRDefault="00725B35" w:rsidP="00B34B59">
      <w:pPr>
        <w:pStyle w:val="isselectedend"/>
        <w:spacing w:before="0" w:beforeAutospacing="0" w:after="0" w:afterAutospacing="0" w:line="360" w:lineRule="auto"/>
        <w:jc w:val="both"/>
      </w:pPr>
      <w:r>
        <w:tab/>
        <w:t>În contextul intervențiilor și training</w:t>
      </w:r>
      <w:r w:rsidR="00DB5015">
        <w:t>-</w:t>
      </w:r>
      <w:r>
        <w:t>urilor bazate pe VR, două variabile au o importanță specială: prezența și afectul pozitiv. Prezența este experiența subiectivă de a fi localizat în mediul virtual, cu o deplasare a atenției dinspre lumea fizică spre mediul virtual (Kisker et al., 2021). Literatura arată rezultate mixte privind rolul prezenței</w:t>
      </w:r>
      <w:r w:rsidR="00DB5015">
        <w:t>,</w:t>
      </w:r>
      <w:r>
        <w:t xml:space="preserve"> uneori </w:t>
      </w:r>
      <w:r w:rsidR="00DB5015">
        <w:t>fiind</w:t>
      </w:r>
      <w:r>
        <w:t xml:space="preserve"> asociată cu implicarea și rezultatele învățării, iar alteori crește experiența subiectivă fără a produce îmbunătățiri obiective ale performanței (Ling et al., 2014; Makransky et al., 2019; Price &amp; Anderson, 2007; Yang et al., 2023).</w:t>
      </w:r>
    </w:p>
    <w:p w14:paraId="3A2F22F4" w14:textId="09BAAEAB" w:rsidR="00725B35" w:rsidRDefault="00725B35" w:rsidP="00B34B59">
      <w:pPr>
        <w:pStyle w:val="isselectedend"/>
        <w:spacing w:before="0" w:beforeAutospacing="0" w:after="0" w:afterAutospacing="0" w:line="360" w:lineRule="auto"/>
        <w:jc w:val="both"/>
      </w:pPr>
      <w:r>
        <w:tab/>
        <w:t>Afectul pozitiv a fost inclus în această teză</w:t>
      </w:r>
      <w:r w:rsidR="00A77F24">
        <w:t>,</w:t>
      </w:r>
      <w:r>
        <w:t xml:space="preserve"> deoarece reprezintă un rezultat relevant al unor intervenții VR și poate influența experiența de învățare. Emoțiile pozitive pot facilita implicarea, explorarea și construirea unor resurse psihologice (Fredrickson, 2001), iar în mediile educaționale mediate de tehnologie, emoțiile pozitive se asociază cu rezultate ale învățării mai favorabile (Loderer et al., 2020). Totuși, cercetările anterioare au raportat rezultate eterogene privind capacitatea VR de a crește afectul pozitiv, motiv pentru care prima cercetare a tezei a fost dedicată unei meta-analize focalizate exclusiv pe studii randomizate controlate.</w:t>
      </w:r>
    </w:p>
    <w:p w14:paraId="3D5CC036" w14:textId="1E2CE0E1" w:rsidR="00725B35" w:rsidRDefault="00725B35" w:rsidP="00B34B59">
      <w:pPr>
        <w:pStyle w:val="isselectedend"/>
        <w:spacing w:before="0" w:beforeAutospacing="0" w:after="0" w:afterAutospacing="0" w:line="360" w:lineRule="auto"/>
        <w:jc w:val="both"/>
      </w:pPr>
      <w:r>
        <w:tab/>
        <w:t xml:space="preserve">În ansamblu, cadrul teoretic al tezei susține relevanța dezvoltării unei aplicații VR destinate formării abilităților relației terapeutice, precum empatia și alianța terapeutică, deoarece relația terapeutică este un predictor important al rezultatului psihoterapiei (Norcross &amp; Karpiak, 2025), viitorii psihoterapeuți </w:t>
      </w:r>
      <w:r w:rsidR="004A68E6">
        <w:t>au</w:t>
      </w:r>
      <w:r>
        <w:t xml:space="preserve"> nevoie de contexte active de practică și feedback (Beidas &amp; Kendall, 2010; Frank et al., 2020; Rønning &amp; Bjørkly, 2019), </w:t>
      </w:r>
      <w:r w:rsidR="004A68E6">
        <w:t xml:space="preserve">iar </w:t>
      </w:r>
      <w:r>
        <w:t>realitatea virtuală ofer</w:t>
      </w:r>
      <w:r w:rsidR="004A68E6">
        <w:t>ă</w:t>
      </w:r>
      <w:r>
        <w:t xml:space="preserve"> un mediu sigur, controlat și repetabil pentru exersarea răspunsurilor terapeutice (Chittaro &amp; Ranon, 2007; Howard et al., 2021).</w:t>
      </w:r>
    </w:p>
    <w:p w14:paraId="2A469BBB" w14:textId="77777777" w:rsidR="00725B35" w:rsidRDefault="00725B35" w:rsidP="00B34B59">
      <w:pPr>
        <w:pStyle w:val="NormalWeb"/>
        <w:spacing w:before="0" w:beforeAutospacing="0" w:after="0" w:afterAutospacing="0" w:line="360" w:lineRule="auto"/>
        <w:jc w:val="both"/>
      </w:pPr>
      <w:r>
        <w:tab/>
        <w:t>Prin urmare, teza propune o contribuție la intersecția dintre psihoterapia bazată pe dovezi, formarea profesională și tehnologiile imersive. Ea urmărește să arate nu doar că VR poate fi utilizată într-un context psihologic, ci că poate fi proiectată ca instrument educațional cu obiective clinice precise: dezvoltarea empatiei și a capacității de construire a alianței terapeutice.</w:t>
      </w:r>
    </w:p>
    <w:p w14:paraId="7185AD5E" w14:textId="77777777" w:rsidR="004A68E6" w:rsidRDefault="004A68E6" w:rsidP="00B34B59">
      <w:pPr>
        <w:pStyle w:val="NormalWeb"/>
        <w:spacing w:before="0" w:beforeAutospacing="0" w:after="0" w:afterAutospacing="0" w:line="360" w:lineRule="auto"/>
        <w:jc w:val="both"/>
      </w:pPr>
    </w:p>
    <w:p w14:paraId="71D10CAD" w14:textId="77777777" w:rsidR="00725B35" w:rsidRDefault="00725B35" w:rsidP="00B34B59">
      <w:pPr>
        <w:pStyle w:val="NormalWeb"/>
        <w:spacing w:before="0" w:beforeAutospacing="0" w:after="0" w:afterAutospacing="0" w:line="360" w:lineRule="auto"/>
        <w:jc w:val="both"/>
      </w:pPr>
    </w:p>
    <w:p w14:paraId="551324C0" w14:textId="3058EB28" w:rsidR="004A68E6" w:rsidRDefault="00000000" w:rsidP="004A68E6">
      <w:pPr>
        <w:pStyle w:val="Heading1"/>
        <w:spacing w:before="0" w:after="0" w:line="360" w:lineRule="auto"/>
        <w:jc w:val="center"/>
        <w:rPr>
          <w:rFonts w:ascii="Times New Roman" w:eastAsia="Times New Roman" w:hAnsi="Times New Roman"/>
          <w:color w:val="000000" w:themeColor="text1"/>
        </w:rPr>
      </w:pPr>
      <w:r w:rsidRPr="00543219">
        <w:rPr>
          <w:rFonts w:ascii="Times New Roman" w:eastAsia="Times New Roman" w:hAnsi="Times New Roman"/>
          <w:color w:val="000000" w:themeColor="text1"/>
        </w:rPr>
        <w:t>CAPITOLUL II. OBIECTIVELE CERCETĂRII ȘI STRATEGIA METODOLOGICĂ GENERALĂ</w:t>
      </w:r>
    </w:p>
    <w:p w14:paraId="2B1FA288" w14:textId="77777777" w:rsidR="004A68E6" w:rsidRPr="004A68E6" w:rsidRDefault="004A68E6" w:rsidP="004A68E6"/>
    <w:p w14:paraId="672E4028" w14:textId="77777777" w:rsidR="00762E5F" w:rsidRDefault="00543219" w:rsidP="00B34B59">
      <w:pPr>
        <w:spacing w:after="0" w:line="360" w:lineRule="auto"/>
        <w:jc w:val="both"/>
      </w:pPr>
      <w:r>
        <w:tab/>
        <w:t xml:space="preserve">Obiectivul general al tezei a fost dezvoltarea și evaluarea empirică a unei aplicații de realitate virtuală destinate formării abilităților relației terapeutice la viitorii psihoterapeuți. Acest obiectiv general a fost construit pe baza a trei direcții de cercetare: importanța relației terapeutice pentru rezultatele psihoterapiei (Norcross &amp; Karpiak, 2025), nevoia de metode active și </w:t>
      </w:r>
      <w:r w:rsidR="00725B35">
        <w:t xml:space="preserve">de </w:t>
      </w:r>
      <w:r>
        <w:t>feedback în formarea psihoterapeuților (Beidas &amp; Kendall, 2010; Frank et al., 2020; Rønning &amp; Bjørkly, 2019) și potențialul realității virtuale de a oferi medii imersive, controlate și repetabile pentru training (Chittaro &amp; Ranon, 2007; Howard et al., 2021).</w:t>
      </w:r>
    </w:p>
    <w:p w14:paraId="74602927" w14:textId="77777777" w:rsidR="00762E5F" w:rsidRDefault="00543219" w:rsidP="00B34B59">
      <w:pPr>
        <w:spacing w:after="0" w:line="360" w:lineRule="auto"/>
        <w:jc w:val="both"/>
      </w:pPr>
      <w:r>
        <w:tab/>
        <w:t>Primul obiectiv specific al tezei a fost examinarea efectului intervențiilor psihologice bazate pe realitate virtuală asupra afectului pozitiv. Acest obiectiv a fost important pentru că afectul pozitiv este un rezultat relevant atât pentru intervențiile psihologice, cât și pentru mediile educaționale. Cercetările anterioare indică faptul că afectul pozitiv este un rezultat observat în unele intervenții VR, dar cu magnitudine și consistență variabile (Bolouki, 2024; Li Pira et al., 2023; Ma et al., 2023). Pentru a răspunde acestui obiectiv, a fost realizată o revizuire sistematică și meta-analiză a studiilor randomizate controlate care au comparat intervenții VR cu condiții non-VR.</w:t>
      </w:r>
    </w:p>
    <w:p w14:paraId="2817A937" w14:textId="11D3FCE2" w:rsidR="00762E5F" w:rsidRDefault="00543219" w:rsidP="00B34B59">
      <w:pPr>
        <w:spacing w:after="0" w:line="360" w:lineRule="auto"/>
        <w:jc w:val="both"/>
      </w:pPr>
      <w:r>
        <w:tab/>
        <w:t xml:space="preserve">Al doilea obiectiv specific a vizat dezvoltarea aplicației </w:t>
      </w:r>
      <w:r>
        <w:rPr>
          <w:i/>
          <w:iCs/>
        </w:rPr>
        <w:t>Future Psychotherapists</w:t>
      </w:r>
      <w:r>
        <w:t xml:space="preserve"> și evaluarea fezabilității și utilizabilității acesteia într-un eșantion de viitori psihoterapeuți. Acest obiectiv a pornit de la literatura care arată că training</w:t>
      </w:r>
      <w:r w:rsidR="00DC4EFA">
        <w:t>-</w:t>
      </w:r>
      <w:r>
        <w:t xml:space="preserve">ul psihoterapeuților beneficiază de metode experiențiale, practică structurată, învățare activă, consultare și feedback (Beidas &amp; Kendall, 2010; Frank et al., 2020; Rønning &amp; Bjørkly, 2019). De asemenea, literatura privind VR arată că mediile virtuale pot fi utile pentru training atunci când sunt relevante pentru sarcină, interactive și structurate pedagogic (Garcia Fracaro et al., 2021; Howard et al., 2021; Oje et al., 2025). În această etapă, interesul principal a fost stabilirea faptului că aplicația poate fi folosită fără creșteri semnificative ale </w:t>
      </w:r>
      <w:r w:rsidR="00725B35">
        <w:t>răului de simulator</w:t>
      </w:r>
      <w:r>
        <w:t>, că este percepută ca ușor de utilizat și că încărcarea cognitivă rămâne într-un interval compatibil cu învățarea.</w:t>
      </w:r>
    </w:p>
    <w:p w14:paraId="2EC37A20" w14:textId="6BA5A30D" w:rsidR="00762E5F" w:rsidRDefault="00725B35" w:rsidP="00B34B59">
      <w:pPr>
        <w:spacing w:after="0" w:line="360" w:lineRule="auto"/>
        <w:jc w:val="both"/>
      </w:pPr>
      <w:r>
        <w:tab/>
        <w:t xml:space="preserve">Al treilea obiectiv specific a fost traducerea, adaptarea culturală și evaluarea psihometrică a versiunii românești a </w:t>
      </w:r>
      <w:r>
        <w:rPr>
          <w:i/>
          <w:iCs/>
        </w:rPr>
        <w:t>ITC-Sense of Presence Inventory</w:t>
      </w:r>
      <w:r w:rsidR="00DC4EFA">
        <w:rPr>
          <w:i/>
          <w:iCs/>
        </w:rPr>
        <w:t xml:space="preserve"> </w:t>
      </w:r>
      <w:r w:rsidR="00DC4EFA">
        <w:t>(Lessiter et al., 2001)</w:t>
      </w:r>
      <w:r>
        <w:t xml:space="preserve">. Acest obiectiv a avut o funcție metodologică în cadrul tezei. Prezența este tratată în literatura VR ca o caracteristică experiențială centrală, distinctă de proprietățile tehnice ale imersiunii (Kisker et al., 2021; Lee, 2004; Slater &amp; Wilbur, 1997). Pentru a evalua ulterior experiența utilizatorilor în aplicația VR, era necesar un instrument standardizat, adaptat în limba română, care să măsoare dimensiunile prezenței și efectele negative ale expunerii VR. Studiul 3 a răspuns acestei nevoi prin adaptarea și evaluarea psihometrică a </w:t>
      </w:r>
      <w:r>
        <w:rPr>
          <w:i/>
        </w:rPr>
        <w:t>ITC-SOPI</w:t>
      </w:r>
      <w:r>
        <w:t xml:space="preserve"> (Lessiter et al., 2001).</w:t>
      </w:r>
    </w:p>
    <w:p w14:paraId="1C30DA9F" w14:textId="2DE2B15E" w:rsidR="00762E5F" w:rsidRDefault="00725B35" w:rsidP="00B34B59">
      <w:pPr>
        <w:spacing w:after="0" w:line="360" w:lineRule="auto"/>
        <w:jc w:val="both"/>
      </w:pPr>
      <w:r>
        <w:tab/>
        <w:t xml:space="preserve">Al patrulea obiectiv specific a fost testarea eficacității aplicației </w:t>
      </w:r>
      <w:r>
        <w:rPr>
          <w:i/>
          <w:iCs/>
        </w:rPr>
        <w:t>Future Psychotherapists</w:t>
      </w:r>
      <w:r>
        <w:t xml:space="preserve"> printr-un studiu pilot randomizat controlat. </w:t>
      </w:r>
      <w:r w:rsidR="00F11D52" w:rsidRPr="00F11D52">
        <w:t>Acest obiectiv a pornit de la literatura care arată că empatia și alianța terapeutică sunt variabile importante ale relației terapeutice (Elliott et al., 2018; Flückiger et al., 2018), precum și de la cercetările care sugerează că VR poate sprijini dezvoltarea empatiei și a alianței terapeutice, deși rezultatele sunt mixte în privința empatiei (Martingano et al., 2021; Ventura et al., 2020) și foarte puține în privința alianței terapeutice antrenate în VR (Bloch-Elkouby et al., 2026; Kenny et al., 2007).</w:t>
      </w:r>
      <w:r w:rsidR="00F11D52">
        <w:t xml:space="preserve"> </w:t>
      </w:r>
      <w:r>
        <w:t>Studiul a comparat intervenția VR focalizată pe empatie și alianță terapeutică cu o condiție activă de control VR, reprezentată de o experiență de explorare a naturii virtuale.</w:t>
      </w:r>
    </w:p>
    <w:p w14:paraId="193FB3B2" w14:textId="77777777" w:rsidR="00762E5F" w:rsidRDefault="003B4388" w:rsidP="00B34B59">
      <w:pPr>
        <w:spacing w:after="0" w:line="360" w:lineRule="auto"/>
        <w:jc w:val="both"/>
      </w:pPr>
      <w:r>
        <w:tab/>
        <w:t xml:space="preserve">Strategia metodologică a tezei a fost secvențială. Mai întâi, cercetarea a clarificat, prin meta-analiză, dacă intervențiile VR pot produce efecte asupra afectului pozitiv. Apoi, a fost dezvoltată și testată inițial aplicația </w:t>
      </w:r>
      <w:r>
        <w:rPr>
          <w:i/>
          <w:iCs/>
        </w:rPr>
        <w:t>Future Psychotherapists</w:t>
      </w:r>
      <w:r>
        <w:t xml:space="preserve"> din perspectiva fezabilității, utilizabilității și validității conținutului. Ulterior, a fost adaptat un instrument de măsurare a prezenței în limba română, necesar pentru evaluarea experienței VR. În final, aplicația a fost testată într-un design randomizat controlat, pentru a examina efectele asupra unor variabile relevante pentru relația terapeutică.</w:t>
      </w:r>
    </w:p>
    <w:p w14:paraId="3BDD7467" w14:textId="470382D7" w:rsidR="00762E5F" w:rsidRDefault="003B4388" w:rsidP="00B34B59">
      <w:pPr>
        <w:spacing w:after="0" w:line="360" w:lineRule="auto"/>
        <w:jc w:val="both"/>
      </w:pPr>
      <w:r>
        <w:tab/>
      </w:r>
      <w:r w:rsidR="001B0682">
        <w:t>Structura conceptuală a tezei poate fi descrisă astfel (Tabelul 1):</w:t>
      </w:r>
      <w:r>
        <w:t xml:space="preserve"> obiectivul general se află în centrul lucrării, iar cele patru studii contribuie etapizat la atingerea lui. Studiul 1 oferă o justificare empirică pentru relevanța VR și a afectului pozitiv. Studiul 2 contribuie la dezvoltarea, validarea de conținut și evaluarea utilizabilității și fezabilității aplicației. Studiul 3 furnizează suportul metodologic pentru măsurarea prezenței. Studiul 4 integrează rezultatele etapelor anterioare și testează eficacitatea aplicației asupra abilităților relaționale vizate.</w:t>
      </w:r>
    </w:p>
    <w:p w14:paraId="39C76ADC" w14:textId="77777777" w:rsidR="00762E5F" w:rsidRDefault="003B4388" w:rsidP="00B34B59">
      <w:pPr>
        <w:spacing w:after="0" w:line="360" w:lineRule="auto"/>
        <w:jc w:val="both"/>
      </w:pPr>
      <w:r>
        <w:tab/>
        <w:t>Această organizare metodologică răspunde unei exigențe importante în cercetarea aplicată: înainte de a testa eficacitatea unei intervenții, este necesar să fie clarificate premisele teoretice, să fie stabilită fezabilitatea tehnică și educațională, să fie asigurată măsurarea adecvată a variabilelor relevante și abia apoi să fie realizată o evaluare controlată a efectelor. În acest sens, teza nu propune doar o aplicație, ci un program de cercetare construit gradual, de la sinteza literaturii la testarea empirică.</w:t>
      </w:r>
    </w:p>
    <w:p w14:paraId="775FD8ED" w14:textId="77777777" w:rsidR="00164AFB" w:rsidRDefault="00164AFB" w:rsidP="00B34B59">
      <w:pPr>
        <w:spacing w:after="0" w:line="360" w:lineRule="auto"/>
        <w:jc w:val="both"/>
      </w:pPr>
    </w:p>
    <w:p w14:paraId="325B52CA" w14:textId="13AEA18C" w:rsidR="0074640D" w:rsidRDefault="00164AFB" w:rsidP="00B34B59">
      <w:pPr>
        <w:spacing w:after="0" w:line="360" w:lineRule="auto"/>
        <w:jc w:val="both"/>
        <w:rPr>
          <w:i/>
          <w:iCs/>
        </w:rPr>
      </w:pPr>
      <w:r>
        <w:rPr>
          <w:b/>
          <w:bCs/>
        </w:rPr>
        <w:tab/>
      </w:r>
      <w:r w:rsidRPr="00164AFB">
        <w:rPr>
          <w:b/>
          <w:bCs/>
        </w:rPr>
        <w:t>Tabel 1.</w:t>
      </w:r>
      <w:r>
        <w:t xml:space="preserve"> </w:t>
      </w:r>
      <w:r w:rsidRPr="00164AFB">
        <w:rPr>
          <w:i/>
          <w:iCs/>
        </w:rPr>
        <w:t>Structura</w:t>
      </w:r>
      <w:r>
        <w:rPr>
          <w:i/>
          <w:iCs/>
        </w:rPr>
        <w:t xml:space="preserve"> conceptuală a </w:t>
      </w:r>
      <w:r w:rsidRPr="00164AFB">
        <w:rPr>
          <w:i/>
          <w:iCs/>
        </w:rPr>
        <w:t xml:space="preserve"> tezei</w:t>
      </w:r>
    </w:p>
    <w:p w14:paraId="53792E2F" w14:textId="77777777" w:rsidR="00164AFB" w:rsidRDefault="00164AFB" w:rsidP="00B34B59">
      <w:pPr>
        <w:spacing w:after="0" w:line="360" w:lineRule="auto"/>
        <w:jc w:val="both"/>
        <w:rPr>
          <w:i/>
          <w:iCs/>
        </w:rPr>
      </w:pPr>
    </w:p>
    <w:tbl>
      <w:tblPr>
        <w:tblStyle w:val="TableGrid"/>
        <w:tblW w:w="0" w:type="auto"/>
        <w:jc w:val="center"/>
        <w:tblLook w:val="04A0" w:firstRow="1" w:lastRow="0" w:firstColumn="1" w:lastColumn="0" w:noHBand="0" w:noVBand="1"/>
      </w:tblPr>
      <w:tblGrid>
        <w:gridCol w:w="2308"/>
        <w:gridCol w:w="2390"/>
        <w:gridCol w:w="2346"/>
        <w:gridCol w:w="2352"/>
      </w:tblGrid>
      <w:tr w:rsidR="00762E5F" w14:paraId="51C45D22" w14:textId="77777777">
        <w:trPr>
          <w:cantSplit/>
          <w:jc w:val="center"/>
        </w:trPr>
        <w:tc>
          <w:tcPr>
            <w:tcW w:w="2484" w:type="dxa"/>
            <w:vAlign w:val="center"/>
          </w:tcPr>
          <w:p w14:paraId="7483D331" w14:textId="77777777" w:rsidR="00762E5F" w:rsidRDefault="00000000" w:rsidP="00B34B59">
            <w:pPr>
              <w:spacing w:after="0" w:line="360" w:lineRule="auto"/>
              <w:jc w:val="center"/>
            </w:pPr>
            <w:r>
              <w:rPr>
                <w:b/>
                <w:sz w:val="20"/>
              </w:rPr>
              <w:t>Studiu</w:t>
            </w:r>
          </w:p>
        </w:tc>
        <w:tc>
          <w:tcPr>
            <w:tcW w:w="2484" w:type="dxa"/>
            <w:vAlign w:val="center"/>
          </w:tcPr>
          <w:p w14:paraId="0049E768" w14:textId="77777777" w:rsidR="00762E5F" w:rsidRDefault="00000000" w:rsidP="00B34B59">
            <w:pPr>
              <w:spacing w:after="0" w:line="360" w:lineRule="auto"/>
              <w:jc w:val="center"/>
            </w:pPr>
            <w:r>
              <w:rPr>
                <w:b/>
                <w:sz w:val="20"/>
              </w:rPr>
              <w:t>Obiectiv principal</w:t>
            </w:r>
          </w:p>
        </w:tc>
        <w:tc>
          <w:tcPr>
            <w:tcW w:w="2484" w:type="dxa"/>
            <w:vAlign w:val="center"/>
          </w:tcPr>
          <w:p w14:paraId="2E3F23C6" w14:textId="77777777" w:rsidR="00762E5F" w:rsidRDefault="00000000" w:rsidP="00B34B59">
            <w:pPr>
              <w:spacing w:after="0" w:line="360" w:lineRule="auto"/>
              <w:jc w:val="center"/>
            </w:pPr>
            <w:r>
              <w:rPr>
                <w:b/>
                <w:sz w:val="20"/>
              </w:rPr>
              <w:t>Design</w:t>
            </w:r>
          </w:p>
        </w:tc>
        <w:tc>
          <w:tcPr>
            <w:tcW w:w="2484" w:type="dxa"/>
            <w:vAlign w:val="center"/>
          </w:tcPr>
          <w:p w14:paraId="474C361A" w14:textId="77777777" w:rsidR="00762E5F" w:rsidRDefault="00000000" w:rsidP="00B34B59">
            <w:pPr>
              <w:spacing w:after="0" w:line="360" w:lineRule="auto"/>
              <w:jc w:val="center"/>
            </w:pPr>
            <w:r>
              <w:rPr>
                <w:b/>
                <w:sz w:val="20"/>
              </w:rPr>
              <w:t>Contribuție în teză</w:t>
            </w:r>
          </w:p>
        </w:tc>
      </w:tr>
      <w:tr w:rsidR="00762E5F" w14:paraId="12BFD1AB" w14:textId="77777777">
        <w:trPr>
          <w:cantSplit/>
          <w:jc w:val="center"/>
        </w:trPr>
        <w:tc>
          <w:tcPr>
            <w:tcW w:w="2484" w:type="dxa"/>
            <w:vAlign w:val="center"/>
          </w:tcPr>
          <w:p w14:paraId="7535CB72" w14:textId="77777777" w:rsidR="00762E5F" w:rsidRDefault="00000000" w:rsidP="00B34B59">
            <w:pPr>
              <w:spacing w:after="0" w:line="360" w:lineRule="auto"/>
            </w:pPr>
            <w:r>
              <w:rPr>
                <w:sz w:val="20"/>
              </w:rPr>
              <w:t>Studiul 1</w:t>
            </w:r>
          </w:p>
        </w:tc>
        <w:tc>
          <w:tcPr>
            <w:tcW w:w="2484" w:type="dxa"/>
            <w:vAlign w:val="center"/>
          </w:tcPr>
          <w:p w14:paraId="2BCADC69" w14:textId="77777777" w:rsidR="00762E5F" w:rsidRDefault="00000000" w:rsidP="00B34B59">
            <w:pPr>
              <w:spacing w:after="0" w:line="360" w:lineRule="auto"/>
              <w:jc w:val="center"/>
            </w:pPr>
            <w:r>
              <w:rPr>
                <w:sz w:val="20"/>
              </w:rPr>
              <w:t>Efectul VR asupra afectului pozitiv</w:t>
            </w:r>
          </w:p>
        </w:tc>
        <w:tc>
          <w:tcPr>
            <w:tcW w:w="2484" w:type="dxa"/>
            <w:vAlign w:val="center"/>
          </w:tcPr>
          <w:p w14:paraId="207675B3" w14:textId="77777777" w:rsidR="00762E5F" w:rsidRDefault="00000000" w:rsidP="00B34B59">
            <w:pPr>
              <w:spacing w:after="0" w:line="360" w:lineRule="auto"/>
              <w:jc w:val="center"/>
            </w:pPr>
            <w:r>
              <w:rPr>
                <w:sz w:val="20"/>
              </w:rPr>
              <w:t>Revizuire sistematică și meta-analiză RCT</w:t>
            </w:r>
          </w:p>
        </w:tc>
        <w:tc>
          <w:tcPr>
            <w:tcW w:w="2484" w:type="dxa"/>
            <w:vAlign w:val="center"/>
          </w:tcPr>
          <w:p w14:paraId="7B8E076D" w14:textId="77777777" w:rsidR="00762E5F" w:rsidRDefault="00000000" w:rsidP="00B34B59">
            <w:pPr>
              <w:spacing w:after="0" w:line="360" w:lineRule="auto"/>
              <w:jc w:val="center"/>
            </w:pPr>
            <w:r>
              <w:rPr>
                <w:sz w:val="20"/>
              </w:rPr>
              <w:t>Justifică relevanța experienței afective pozitive în VR</w:t>
            </w:r>
          </w:p>
        </w:tc>
      </w:tr>
      <w:tr w:rsidR="00762E5F" w14:paraId="605E8AED" w14:textId="77777777">
        <w:trPr>
          <w:cantSplit/>
          <w:jc w:val="center"/>
        </w:trPr>
        <w:tc>
          <w:tcPr>
            <w:tcW w:w="2484" w:type="dxa"/>
            <w:vAlign w:val="center"/>
          </w:tcPr>
          <w:p w14:paraId="63DB4457" w14:textId="77777777" w:rsidR="00762E5F" w:rsidRDefault="00000000" w:rsidP="00B34B59">
            <w:pPr>
              <w:spacing w:after="0" w:line="360" w:lineRule="auto"/>
            </w:pPr>
            <w:r>
              <w:rPr>
                <w:sz w:val="20"/>
              </w:rPr>
              <w:t>Studiul 2</w:t>
            </w:r>
          </w:p>
        </w:tc>
        <w:tc>
          <w:tcPr>
            <w:tcW w:w="2484" w:type="dxa"/>
            <w:vAlign w:val="center"/>
          </w:tcPr>
          <w:p w14:paraId="6DD9B8C9" w14:textId="77777777" w:rsidR="00762E5F" w:rsidRDefault="00000000" w:rsidP="00B34B59">
            <w:pPr>
              <w:spacing w:after="0" w:line="360" w:lineRule="auto"/>
              <w:jc w:val="center"/>
            </w:pPr>
            <w:r>
              <w:rPr>
                <w:sz w:val="20"/>
              </w:rPr>
              <w:t>Fezabilitatea și utilizabilitatea aplicației</w:t>
            </w:r>
          </w:p>
        </w:tc>
        <w:tc>
          <w:tcPr>
            <w:tcW w:w="2484" w:type="dxa"/>
            <w:vAlign w:val="center"/>
          </w:tcPr>
          <w:p w14:paraId="5492E889" w14:textId="77777777" w:rsidR="00762E5F" w:rsidRDefault="00000000" w:rsidP="00B34B59">
            <w:pPr>
              <w:spacing w:after="0" w:line="360" w:lineRule="auto"/>
              <w:jc w:val="center"/>
            </w:pPr>
            <w:r>
              <w:rPr>
                <w:sz w:val="20"/>
              </w:rPr>
              <w:t>Studiu pilot pre-post, un singur grup</w:t>
            </w:r>
          </w:p>
        </w:tc>
        <w:tc>
          <w:tcPr>
            <w:tcW w:w="2484" w:type="dxa"/>
            <w:vAlign w:val="center"/>
          </w:tcPr>
          <w:p w14:paraId="22EFB0CE" w14:textId="77777777" w:rsidR="00762E5F" w:rsidRDefault="00000000" w:rsidP="00B34B59">
            <w:pPr>
              <w:spacing w:after="0" w:line="360" w:lineRule="auto"/>
              <w:jc w:val="center"/>
            </w:pPr>
            <w:r>
              <w:rPr>
                <w:sz w:val="20"/>
              </w:rPr>
              <w:t>Testează utilizarea inițială și validitatea de conținut</w:t>
            </w:r>
          </w:p>
        </w:tc>
      </w:tr>
      <w:tr w:rsidR="00762E5F" w14:paraId="64DD674E" w14:textId="77777777">
        <w:trPr>
          <w:cantSplit/>
          <w:jc w:val="center"/>
        </w:trPr>
        <w:tc>
          <w:tcPr>
            <w:tcW w:w="2484" w:type="dxa"/>
            <w:vAlign w:val="center"/>
          </w:tcPr>
          <w:p w14:paraId="260499DD" w14:textId="77777777" w:rsidR="00762E5F" w:rsidRDefault="00000000" w:rsidP="00B34B59">
            <w:pPr>
              <w:spacing w:after="0" w:line="360" w:lineRule="auto"/>
            </w:pPr>
            <w:r>
              <w:rPr>
                <w:sz w:val="20"/>
              </w:rPr>
              <w:t>Studiul 3</w:t>
            </w:r>
          </w:p>
        </w:tc>
        <w:tc>
          <w:tcPr>
            <w:tcW w:w="2484" w:type="dxa"/>
            <w:vAlign w:val="center"/>
          </w:tcPr>
          <w:p w14:paraId="198F7F1E" w14:textId="77777777" w:rsidR="00762E5F" w:rsidRDefault="00000000" w:rsidP="00B34B59">
            <w:pPr>
              <w:spacing w:after="0" w:line="360" w:lineRule="auto"/>
              <w:jc w:val="center"/>
            </w:pPr>
            <w:r>
              <w:rPr>
                <w:sz w:val="20"/>
              </w:rPr>
              <w:t xml:space="preserve">Adaptarea </w:t>
            </w:r>
            <w:r>
              <w:rPr>
                <w:i/>
                <w:sz w:val="20"/>
              </w:rPr>
              <w:t>ITC-SOPI</w:t>
            </w:r>
            <w:r>
              <w:rPr>
                <w:sz w:val="20"/>
              </w:rPr>
              <w:t xml:space="preserve"> în limba română</w:t>
            </w:r>
          </w:p>
        </w:tc>
        <w:tc>
          <w:tcPr>
            <w:tcW w:w="2484" w:type="dxa"/>
            <w:vAlign w:val="center"/>
          </w:tcPr>
          <w:p w14:paraId="310C4E7B" w14:textId="77777777" w:rsidR="00762E5F" w:rsidRDefault="00000000" w:rsidP="00B34B59">
            <w:pPr>
              <w:spacing w:after="0" w:line="360" w:lineRule="auto"/>
              <w:jc w:val="center"/>
            </w:pPr>
            <w:r>
              <w:rPr>
                <w:sz w:val="20"/>
              </w:rPr>
              <w:t>Studiu psihometric</w:t>
            </w:r>
          </w:p>
        </w:tc>
        <w:tc>
          <w:tcPr>
            <w:tcW w:w="2484" w:type="dxa"/>
            <w:vAlign w:val="center"/>
          </w:tcPr>
          <w:p w14:paraId="402BA172" w14:textId="77777777" w:rsidR="00762E5F" w:rsidRDefault="00000000" w:rsidP="00B34B59">
            <w:pPr>
              <w:spacing w:after="0" w:line="360" w:lineRule="auto"/>
              <w:jc w:val="center"/>
            </w:pPr>
            <w:r>
              <w:rPr>
                <w:sz w:val="20"/>
              </w:rPr>
              <w:t>Oferă instrument pentru măsurarea prezenței</w:t>
            </w:r>
          </w:p>
        </w:tc>
      </w:tr>
      <w:tr w:rsidR="00762E5F" w14:paraId="44A9A95B" w14:textId="77777777">
        <w:trPr>
          <w:cantSplit/>
          <w:jc w:val="center"/>
        </w:trPr>
        <w:tc>
          <w:tcPr>
            <w:tcW w:w="2484" w:type="dxa"/>
            <w:vAlign w:val="center"/>
          </w:tcPr>
          <w:p w14:paraId="1CD113D3" w14:textId="77777777" w:rsidR="00762E5F" w:rsidRDefault="00000000" w:rsidP="00B34B59">
            <w:pPr>
              <w:spacing w:after="0" w:line="360" w:lineRule="auto"/>
            </w:pPr>
            <w:r>
              <w:rPr>
                <w:sz w:val="20"/>
              </w:rPr>
              <w:t>Studiul 4</w:t>
            </w:r>
          </w:p>
        </w:tc>
        <w:tc>
          <w:tcPr>
            <w:tcW w:w="2484" w:type="dxa"/>
            <w:vAlign w:val="center"/>
          </w:tcPr>
          <w:p w14:paraId="1BF23C21" w14:textId="77777777" w:rsidR="00762E5F" w:rsidRDefault="00000000" w:rsidP="00B34B59">
            <w:pPr>
              <w:spacing w:after="0" w:line="360" w:lineRule="auto"/>
              <w:jc w:val="center"/>
            </w:pPr>
            <w:r>
              <w:rPr>
                <w:sz w:val="20"/>
              </w:rPr>
              <w:t xml:space="preserve">Eficacitatea aplicației </w:t>
            </w:r>
            <w:r>
              <w:rPr>
                <w:i/>
                <w:sz w:val="20"/>
              </w:rPr>
              <w:t>Future Psychotherapists</w:t>
            </w:r>
          </w:p>
        </w:tc>
        <w:tc>
          <w:tcPr>
            <w:tcW w:w="2484" w:type="dxa"/>
            <w:vAlign w:val="center"/>
          </w:tcPr>
          <w:p w14:paraId="36F9737D" w14:textId="77777777" w:rsidR="00762E5F" w:rsidRDefault="00000000" w:rsidP="00B34B59">
            <w:pPr>
              <w:spacing w:after="0" w:line="360" w:lineRule="auto"/>
              <w:jc w:val="center"/>
            </w:pPr>
            <w:r>
              <w:rPr>
                <w:sz w:val="20"/>
              </w:rPr>
              <w:t>Pilot RCT cu grup activ de control</w:t>
            </w:r>
          </w:p>
        </w:tc>
        <w:tc>
          <w:tcPr>
            <w:tcW w:w="2484" w:type="dxa"/>
            <w:vAlign w:val="center"/>
          </w:tcPr>
          <w:p w14:paraId="1AD0506A" w14:textId="77777777" w:rsidR="00762E5F" w:rsidRDefault="00000000" w:rsidP="00B34B59">
            <w:pPr>
              <w:spacing w:after="0" w:line="360" w:lineRule="auto"/>
              <w:jc w:val="center"/>
            </w:pPr>
            <w:r>
              <w:rPr>
                <w:sz w:val="20"/>
              </w:rPr>
              <w:t>Testează efecte asupra empatiei</w:t>
            </w:r>
            <w:r w:rsidR="00122C93">
              <w:rPr>
                <w:sz w:val="20"/>
              </w:rPr>
              <w:t xml:space="preserve"> și ali</w:t>
            </w:r>
            <w:r w:rsidR="001B0682">
              <w:rPr>
                <w:sz w:val="20"/>
              </w:rPr>
              <w:t>a</w:t>
            </w:r>
            <w:r w:rsidR="00122C93">
              <w:rPr>
                <w:sz w:val="20"/>
              </w:rPr>
              <w:t>nței terapeutice</w:t>
            </w:r>
          </w:p>
        </w:tc>
      </w:tr>
    </w:tbl>
    <w:p w14:paraId="30CB7F47" w14:textId="77777777" w:rsidR="00164AFB" w:rsidRDefault="00164AFB" w:rsidP="00B34B59">
      <w:pPr>
        <w:pStyle w:val="Heading1"/>
        <w:spacing w:before="0" w:after="0" w:line="360" w:lineRule="auto"/>
        <w:jc w:val="center"/>
        <w:rPr>
          <w:rFonts w:ascii="Times New Roman" w:eastAsia="Times New Roman" w:hAnsi="Times New Roman"/>
          <w:color w:val="000000" w:themeColor="text1"/>
        </w:rPr>
      </w:pPr>
    </w:p>
    <w:p w14:paraId="65D2C4E1" w14:textId="77777777" w:rsidR="00540F0E" w:rsidRDefault="00540F0E" w:rsidP="00B34B59">
      <w:pPr>
        <w:spacing w:after="0" w:line="360" w:lineRule="auto"/>
      </w:pPr>
    </w:p>
    <w:p w14:paraId="210E4F34" w14:textId="77777777" w:rsidR="00164AFB" w:rsidRDefault="00164AFB" w:rsidP="00B34B59">
      <w:pPr>
        <w:spacing w:after="0" w:line="360" w:lineRule="auto"/>
      </w:pPr>
    </w:p>
    <w:p w14:paraId="733144E9" w14:textId="77777777" w:rsidR="00164AFB" w:rsidRDefault="00164AFB" w:rsidP="00B34B59">
      <w:pPr>
        <w:spacing w:after="0" w:line="360" w:lineRule="auto"/>
      </w:pPr>
    </w:p>
    <w:p w14:paraId="23E92B61" w14:textId="77777777" w:rsidR="00164AFB" w:rsidRDefault="00164AFB" w:rsidP="00B34B59">
      <w:pPr>
        <w:spacing w:after="0" w:line="360" w:lineRule="auto"/>
      </w:pPr>
    </w:p>
    <w:p w14:paraId="6CBDD685" w14:textId="77777777" w:rsidR="00164AFB" w:rsidRDefault="00164AFB" w:rsidP="00B34B59">
      <w:pPr>
        <w:spacing w:after="0" w:line="360" w:lineRule="auto"/>
      </w:pPr>
    </w:p>
    <w:p w14:paraId="06CD51AA" w14:textId="77777777" w:rsidR="00164AFB" w:rsidRDefault="00164AFB" w:rsidP="00B34B59">
      <w:pPr>
        <w:spacing w:after="0" w:line="360" w:lineRule="auto"/>
      </w:pPr>
    </w:p>
    <w:p w14:paraId="5B788825" w14:textId="77777777" w:rsidR="00164AFB" w:rsidRDefault="00164AFB" w:rsidP="00164AFB">
      <w:pPr>
        <w:pStyle w:val="Heading1"/>
        <w:spacing w:before="0" w:after="0" w:line="360" w:lineRule="auto"/>
        <w:jc w:val="center"/>
        <w:rPr>
          <w:rFonts w:ascii="Times New Roman" w:eastAsia="Times New Roman" w:hAnsi="Times New Roman"/>
          <w:color w:val="000000" w:themeColor="text1"/>
        </w:rPr>
      </w:pPr>
      <w:r>
        <w:rPr>
          <w:rFonts w:ascii="Times New Roman" w:eastAsia="Times New Roman" w:hAnsi="Times New Roman"/>
          <w:color w:val="000000" w:themeColor="text1"/>
        </w:rPr>
        <w:t>C</w:t>
      </w:r>
      <w:r w:rsidRPr="003B4388">
        <w:rPr>
          <w:rFonts w:ascii="Times New Roman" w:eastAsia="Times New Roman" w:hAnsi="Times New Roman"/>
          <w:color w:val="000000" w:themeColor="text1"/>
        </w:rPr>
        <w:t>APITOLUL III. CERCETAREA ORIGINALĂ</w:t>
      </w:r>
    </w:p>
    <w:p w14:paraId="3A0BE1F6" w14:textId="77777777" w:rsidR="00164AFB" w:rsidRPr="00540F0E" w:rsidRDefault="00164AFB" w:rsidP="00164AFB">
      <w:pPr>
        <w:spacing w:after="0" w:line="360" w:lineRule="auto"/>
      </w:pPr>
    </w:p>
    <w:p w14:paraId="74E87122" w14:textId="77777777" w:rsidR="00164AFB" w:rsidRDefault="00164AFB" w:rsidP="00164AFB">
      <w:pPr>
        <w:pStyle w:val="Heading2"/>
        <w:spacing w:before="0" w:after="0" w:line="360" w:lineRule="auto"/>
        <w:jc w:val="both"/>
        <w:rPr>
          <w:rFonts w:ascii="Times New Roman" w:eastAsia="Times New Roman" w:hAnsi="Times New Roman"/>
          <w:color w:val="000000" w:themeColor="text1"/>
        </w:rPr>
      </w:pPr>
      <w:r w:rsidRPr="003B4388">
        <w:rPr>
          <w:rFonts w:ascii="Times New Roman" w:eastAsia="Times New Roman" w:hAnsi="Times New Roman"/>
          <w:color w:val="000000" w:themeColor="text1"/>
        </w:rPr>
        <w:t>3.1. Studiul 1. Efectul intervențiilor psihologice bazate pe realitate virtuală asupra afectului pozitiv: revizuire sistematică și meta-analiză</w:t>
      </w:r>
    </w:p>
    <w:p w14:paraId="7B287E0C" w14:textId="77777777" w:rsidR="00164AFB" w:rsidRPr="00540F0E" w:rsidRDefault="00164AFB" w:rsidP="00B34B59">
      <w:pPr>
        <w:spacing w:after="0" w:line="360" w:lineRule="auto"/>
      </w:pPr>
    </w:p>
    <w:p w14:paraId="61D7D47C" w14:textId="77777777" w:rsidR="00762E5F" w:rsidRPr="003B4388" w:rsidRDefault="00000000" w:rsidP="00B34B59">
      <w:pPr>
        <w:pStyle w:val="Heading3"/>
        <w:spacing w:before="0" w:after="0" w:line="360" w:lineRule="auto"/>
        <w:rPr>
          <w:color w:val="000000" w:themeColor="text1"/>
        </w:rPr>
      </w:pPr>
      <w:r w:rsidRPr="003B4388">
        <w:rPr>
          <w:rFonts w:ascii="Times New Roman" w:eastAsia="Times New Roman" w:hAnsi="Times New Roman"/>
          <w:color w:val="000000" w:themeColor="text1"/>
        </w:rPr>
        <w:t>3.1.1. Introducere</w:t>
      </w:r>
    </w:p>
    <w:p w14:paraId="2FFF96B4" w14:textId="77777777" w:rsidR="00762E5F" w:rsidRDefault="009939D9" w:rsidP="00B34B59">
      <w:pPr>
        <w:spacing w:after="0" w:line="360" w:lineRule="auto"/>
        <w:jc w:val="both"/>
      </w:pPr>
      <w:r>
        <w:tab/>
        <w:t>Primul studiu a pornit de la observația că realitatea virtuală a devenit o tehnologie utilizată tot mai frecvent în intervențiile psihologice și în programele de training. În domeniul intervențiilor psihologice, VR este discutată ca instrument relevant pentru sănătatea mintală (Pedram &amp; Piatkowski, 2025), iar în domeniul formării, programele de training VR au fost asociate cu beneficii asupra învățării și dezvoltării abilităților (Howard et al., 2021). Totuși, rezultatele privind afectul pozitiv rămân eterogene: unele studii au raportat creșteri după expunerea la medii virtuale, în special medii naturale sau experiențe de relaxare, în timp ce alte cercetări nu au identificat diferențe clare între condițiile VR și cele non-VR asupra afectului pozitiv.</w:t>
      </w:r>
    </w:p>
    <w:p w14:paraId="7B454251" w14:textId="0E80C019" w:rsidR="00762E5F" w:rsidRDefault="009939D9" w:rsidP="00B34B59">
      <w:pPr>
        <w:spacing w:after="0" w:line="360" w:lineRule="auto"/>
        <w:jc w:val="both"/>
      </w:pPr>
      <w:r>
        <w:tab/>
        <w:t>Afectul pozitiv a fost conceptualizat în acest studiu ca tendința generală de a experimenta stări emoționale plăcute (Harmon-Jones &amp; Harmon-Jones, 2021). Relevanța sa este susținută de teoria broaden-and-build, potrivit căreia emoțiile pozitive lărgesc repertoriul de acțiuni și gânduri și contribuie la construirea unor resurse durabile (Fredrickson, 2001). În psihoterapie, creșterile afectului pozitiv pot preceda reducerea simptomelor de depresie și anxietate (Barnes-Horowitz et al., 2024), iar în mediile de învățare asistate tehnologic</w:t>
      </w:r>
      <w:r w:rsidR="00823CBB">
        <w:t>,</w:t>
      </w:r>
      <w:r>
        <w:t xml:space="preserve"> emoțiile pozitive sunt asociate cu rezultate educaționale mai favorabile (Loderer et al., 2020).</w:t>
      </w:r>
    </w:p>
    <w:p w14:paraId="2B0E0FD8" w14:textId="77777777" w:rsidR="00762E5F" w:rsidRDefault="009939D9" w:rsidP="00B34B59">
      <w:pPr>
        <w:spacing w:after="0" w:line="360" w:lineRule="auto"/>
        <w:jc w:val="both"/>
      </w:pPr>
      <w:r>
        <w:tab/>
        <w:t>În acest context, obiectivul principal al Studiului 1 a fost cuantificarea efectului global al intervențiilor psihologice livrate prin VR asupra afectului pozitiv, comparativ cu intervențiile non-VR. Un obiectiv secundar a fost explorarea unor moderatori, precum tipul grupului de control, tipul intervenției, dispozitivul folosit, durata intervenției, tipul de eșantion, vârsta, proporția de participante femei și riscul de bias.</w:t>
      </w:r>
    </w:p>
    <w:p w14:paraId="55829308" w14:textId="77777777" w:rsidR="00540F0E" w:rsidRDefault="00540F0E" w:rsidP="00B34B59">
      <w:pPr>
        <w:spacing w:after="0" w:line="360" w:lineRule="auto"/>
        <w:jc w:val="both"/>
      </w:pPr>
    </w:p>
    <w:p w14:paraId="0D4F7147" w14:textId="77777777" w:rsidR="00762E5F" w:rsidRDefault="00000000" w:rsidP="00B34B59">
      <w:pPr>
        <w:pStyle w:val="Heading3"/>
        <w:spacing w:before="0" w:after="0" w:line="360" w:lineRule="auto"/>
        <w:rPr>
          <w:rFonts w:ascii="Times New Roman" w:eastAsia="Times New Roman" w:hAnsi="Times New Roman"/>
          <w:color w:val="000000" w:themeColor="text1"/>
        </w:rPr>
      </w:pPr>
      <w:r w:rsidRPr="009939D9">
        <w:rPr>
          <w:rFonts w:ascii="Times New Roman" w:eastAsia="Times New Roman" w:hAnsi="Times New Roman"/>
          <w:color w:val="000000" w:themeColor="text1"/>
        </w:rPr>
        <w:t>3.1.2. Metod</w:t>
      </w:r>
      <w:r w:rsidR="00A418BC">
        <w:rPr>
          <w:rFonts w:ascii="Times New Roman" w:eastAsia="Times New Roman" w:hAnsi="Times New Roman"/>
          <w:color w:val="000000" w:themeColor="text1"/>
        </w:rPr>
        <w:t>ologie</w:t>
      </w:r>
    </w:p>
    <w:p w14:paraId="3BB95C54" w14:textId="77777777" w:rsidR="008841E3" w:rsidRPr="008841E3" w:rsidRDefault="009939D9" w:rsidP="00B34B59">
      <w:pPr>
        <w:spacing w:after="0" w:line="360" w:lineRule="auto"/>
        <w:jc w:val="both"/>
      </w:pPr>
      <w:r>
        <w:tab/>
      </w:r>
      <w:r w:rsidR="008841E3" w:rsidRPr="008841E3">
        <w:t>Revizuirea sistematică a fost realizată în bazele de date Web of Science, PsycINFO, PubMed și Scopus. Căutarea inițială a fost efectuată în mai 2023, iar actualizarea a fost realizată în martie 2025. Strategia de căutare a combinat termeni referitori la realitatea virtuală cu termeni referitori la afect pozitiv, emoții pozitive, dispoziție pozitivă, bunăstare, calm, relaxare, serenitate sau fericire și cu termeni referitori la intervenții sau studii randomizate controlate (Moher et al., 2009).</w:t>
      </w:r>
    </w:p>
    <w:p w14:paraId="5117CA72" w14:textId="77777777" w:rsidR="008841E3" w:rsidRPr="008841E3" w:rsidRDefault="008841E3" w:rsidP="00B34B59">
      <w:pPr>
        <w:spacing w:after="0" w:line="360" w:lineRule="auto"/>
        <w:jc w:val="both"/>
      </w:pPr>
      <w:r>
        <w:tab/>
      </w:r>
      <w:r w:rsidRPr="008841E3">
        <w:t>Au fost incluse doar studii publicate în limba engleză, în reviste peer-reviewed, cu design randomizat controlat, care comparau o intervenție VR cu o condiție non-VR și care raportau date suficiente pentru calcularea mărimii efectului asupra afectului pozitiv la post-test. Au fost extrase datele necesare pentru calcularea lui Hedges g, precum și informații despre caracteristicile studiilor și potențialii moderatori (Borenstein et al., 2009; Cohen, 1988).</w:t>
      </w:r>
    </w:p>
    <w:p w14:paraId="18BE5FA4" w14:textId="0930C994" w:rsidR="008841E3" w:rsidRDefault="008841E3" w:rsidP="00B34B59">
      <w:pPr>
        <w:spacing w:after="0" w:line="360" w:lineRule="auto"/>
        <w:jc w:val="both"/>
      </w:pPr>
      <w:r>
        <w:tab/>
      </w:r>
      <w:r w:rsidR="00F11D52" w:rsidRPr="00F11D52">
        <w:t xml:space="preserve">Calitatea studiilor incluse a fost evaluată cu ajutorul </w:t>
      </w:r>
      <w:r w:rsidR="00F11D52" w:rsidRPr="00F11D52">
        <w:rPr>
          <w:i/>
          <w:iCs/>
        </w:rPr>
        <w:t>Joanna Briggs Institute Critical Appraisal Checklist for Randomized Controlled Trials</w:t>
      </w:r>
      <w:r w:rsidR="00F11D52" w:rsidRPr="00F11D52">
        <w:t xml:space="preserve"> (Aromataris &amp; Munn, 2020; Tufanaru et al., 2020). Analizele meta-analitice au fost efectuate în </w:t>
      </w:r>
      <w:r w:rsidR="00F11D52" w:rsidRPr="00F11D52">
        <w:rPr>
          <w:i/>
          <w:iCs/>
        </w:rPr>
        <w:t>Comprehensive Meta-Analysis</w:t>
      </w:r>
      <w:r w:rsidR="00F11D52" w:rsidRPr="00F11D52">
        <w:t xml:space="preserve"> (CMA; Borenstein et al., 2014), folosind un model cu efecte aleatorii. Heterogenitatea a fost estimată prin Q și I², iar biasul de publicare a fost evaluat prin inspecția </w:t>
      </w:r>
      <w:r w:rsidR="00F11D52" w:rsidRPr="00F11D52">
        <w:rPr>
          <w:i/>
          <w:iCs/>
        </w:rPr>
        <w:t>funnel plot</w:t>
      </w:r>
      <w:r w:rsidR="00F11D52" w:rsidRPr="00F11D52">
        <w:t xml:space="preserve">, testul Egger (Egger et al., 1997) și metoda </w:t>
      </w:r>
      <w:r w:rsidR="00F11D52" w:rsidRPr="00F11D52">
        <w:rPr>
          <w:i/>
          <w:iCs/>
        </w:rPr>
        <w:t>trim-and-fill</w:t>
      </w:r>
      <w:r w:rsidR="00F11D52" w:rsidRPr="00F11D52">
        <w:t xml:space="preserve"> a lui Duval și Tweedie (Duval &amp; Tweedie, 2000).</w:t>
      </w:r>
    </w:p>
    <w:p w14:paraId="5A67E374" w14:textId="77777777" w:rsidR="00540F0E" w:rsidRDefault="00540F0E" w:rsidP="00B34B59">
      <w:pPr>
        <w:spacing w:after="0" w:line="360" w:lineRule="auto"/>
        <w:jc w:val="both"/>
      </w:pPr>
    </w:p>
    <w:p w14:paraId="5E8DC0EA" w14:textId="77777777" w:rsidR="00762E5F" w:rsidRPr="00F6330A" w:rsidRDefault="00000000" w:rsidP="00B34B59">
      <w:pPr>
        <w:pStyle w:val="Heading3"/>
        <w:spacing w:before="0" w:after="0" w:line="360" w:lineRule="auto"/>
        <w:rPr>
          <w:color w:val="000000" w:themeColor="text1"/>
        </w:rPr>
      </w:pPr>
      <w:r w:rsidRPr="00F6330A">
        <w:rPr>
          <w:rFonts w:ascii="Times New Roman" w:eastAsia="Times New Roman" w:hAnsi="Times New Roman"/>
          <w:color w:val="000000" w:themeColor="text1"/>
        </w:rPr>
        <w:t>3.1.3. Rezultate</w:t>
      </w:r>
    </w:p>
    <w:p w14:paraId="7F2EC0CC" w14:textId="77777777" w:rsidR="00762E5F" w:rsidRDefault="00F6330A" w:rsidP="00B34B59">
      <w:pPr>
        <w:spacing w:after="0" w:line="360" w:lineRule="auto"/>
        <w:jc w:val="both"/>
      </w:pPr>
      <w:r>
        <w:tab/>
        <w:t>Căutarea a identificat 1.703 înregistrări, dintre care 764 au fost duplicate. După screening-ul titlurilor și rezumatelor, au fost evaluate în text complet 177 de studii. În final, au fost incluse 12 studii randomizate controlate, care au furnizat 18 efecte post-test. Numărul total de participanți randomizați în condiții VR sau non-VR a fost N = 819. Majoritatea studiilor au inclus eșantioane non-clinice, iar trei studii au inclus populații clinice.</w:t>
      </w:r>
    </w:p>
    <w:p w14:paraId="3FA7529D" w14:textId="77777777" w:rsidR="00762E5F" w:rsidRDefault="00F6330A" w:rsidP="00B34B59">
      <w:pPr>
        <w:spacing w:after="0" w:line="360" w:lineRule="auto"/>
        <w:jc w:val="both"/>
      </w:pPr>
      <w:r>
        <w:tab/>
        <w:t>Analiza globală a arătat că intervențiile VR au produs un avantaj mic, dar semnificativ, asupra afectului pozitiv comparativ cu condițiile non-VR: Hedges g = 0,320, SE = 0,067, IC 95% [0,189; 0,451], Z = 4,795, p &lt; .001. Heterogenitatea între studii a fost redusă și nesemnificativă statistic, Q(17) = 20,873, p = .232, I2 = 18,6%, ceea ce sugerează o consistență relativă a efectelor incluse.</w:t>
      </w:r>
    </w:p>
    <w:p w14:paraId="1119184C" w14:textId="7B70A269" w:rsidR="00762E5F" w:rsidRDefault="00F6330A" w:rsidP="00B34B59">
      <w:pPr>
        <w:spacing w:after="0" w:line="360" w:lineRule="auto"/>
        <w:jc w:val="both"/>
      </w:pPr>
      <w:r>
        <w:tab/>
        <w:t>Analiza de sensibilitate, realizată prin excluderea unui efect identificat ca outlier, a condus la o creștere ușoară a mărimii efectului, Hedges g = 0,362, IC 95% [0,242; 0,482], iar heterogenitatea reziduală a devenit nulă. Analizele pe subgrupuri au indicat efecte mai mari pentru studiile cu grupuri de control pasive (g = 0,457) decât pentru cele cu grupuri de control active (g = 0,226), însă diferența între subgrupuri nu a fost semnificativă statistic</w:t>
      </w:r>
      <w:r w:rsidR="00823CBB">
        <w:t xml:space="preserve"> (Tabel 2)</w:t>
      </w:r>
      <w:r>
        <w:t>.</w:t>
      </w:r>
    </w:p>
    <w:p w14:paraId="0AC5C520" w14:textId="1B52DCB4" w:rsidR="00762E5F" w:rsidRDefault="00F6330A" w:rsidP="00B34B59">
      <w:pPr>
        <w:spacing w:after="0" w:line="360" w:lineRule="auto"/>
        <w:jc w:val="both"/>
      </w:pPr>
      <w:r>
        <w:tab/>
        <w:t>Nici moderatorii categorici, nici cei continui nu au explicat semnificativ variabilitatea mărimilor de efect. Tipul de rezultat, tipul scalei, tipul eșantionului, tipul dispozitivului, vârsta medie, procentul de participante femei, durata intervenției și scorul JBI nu au fost moderatori semnificativi. Prezența nu a putut fi sintetizată cantitativ, din cauza raportării limitate și necomparabile între studii</w:t>
      </w:r>
      <w:r w:rsidR="00823CBB">
        <w:t>.</w:t>
      </w:r>
    </w:p>
    <w:p w14:paraId="01DA82D7" w14:textId="77777777" w:rsidR="00823CBB" w:rsidRDefault="00823CBB" w:rsidP="00B34B59">
      <w:pPr>
        <w:spacing w:after="0" w:line="360" w:lineRule="auto"/>
        <w:jc w:val="both"/>
      </w:pPr>
    </w:p>
    <w:p w14:paraId="602801DD" w14:textId="5F5056C0" w:rsidR="0074640D" w:rsidRDefault="00000000" w:rsidP="00B34B59">
      <w:pPr>
        <w:spacing w:after="0" w:line="360" w:lineRule="auto"/>
        <w:jc w:val="both"/>
        <w:rPr>
          <w:i/>
          <w:iCs/>
        </w:rPr>
      </w:pPr>
      <w:r w:rsidRPr="00823CBB">
        <w:rPr>
          <w:b/>
          <w:bCs/>
        </w:rPr>
        <w:t>Tabel 2.</w:t>
      </w:r>
      <w:r w:rsidR="00823CBB">
        <w:t xml:space="preserve"> </w:t>
      </w:r>
      <w:r w:rsidR="00823CBB" w:rsidRPr="00823CBB">
        <w:rPr>
          <w:i/>
          <w:iCs/>
        </w:rPr>
        <w:t>Efectele intervențiilor VR asupra afectului pozitiv</w:t>
      </w:r>
    </w:p>
    <w:p w14:paraId="6BBDC155" w14:textId="77777777" w:rsidR="00823CBB" w:rsidRDefault="00823CBB" w:rsidP="00B34B59">
      <w:pPr>
        <w:spacing w:after="0" w:line="360" w:lineRule="auto"/>
        <w:jc w:val="both"/>
        <w:rPr>
          <w:i/>
          <w:iCs/>
        </w:rPr>
      </w:pPr>
    </w:p>
    <w:tbl>
      <w:tblPr>
        <w:tblStyle w:val="TableGrid"/>
        <w:tblW w:w="0" w:type="auto"/>
        <w:jc w:val="center"/>
        <w:tblLook w:val="04A0" w:firstRow="1" w:lastRow="0" w:firstColumn="1" w:lastColumn="0" w:noHBand="0" w:noVBand="1"/>
      </w:tblPr>
      <w:tblGrid>
        <w:gridCol w:w="1574"/>
        <w:gridCol w:w="1527"/>
        <w:gridCol w:w="1571"/>
        <w:gridCol w:w="1565"/>
        <w:gridCol w:w="1542"/>
        <w:gridCol w:w="1617"/>
      </w:tblGrid>
      <w:tr w:rsidR="00762E5F" w14:paraId="22300585" w14:textId="77777777">
        <w:trPr>
          <w:cantSplit/>
          <w:jc w:val="center"/>
        </w:trPr>
        <w:tc>
          <w:tcPr>
            <w:tcW w:w="1656" w:type="dxa"/>
            <w:vAlign w:val="center"/>
          </w:tcPr>
          <w:p w14:paraId="79DC5FB0" w14:textId="77777777" w:rsidR="00762E5F" w:rsidRDefault="00000000" w:rsidP="00B34B59">
            <w:pPr>
              <w:spacing w:after="0" w:line="360" w:lineRule="auto"/>
              <w:jc w:val="center"/>
            </w:pPr>
            <w:r>
              <w:rPr>
                <w:b/>
                <w:sz w:val="20"/>
              </w:rPr>
              <w:t>Analiză</w:t>
            </w:r>
          </w:p>
        </w:tc>
        <w:tc>
          <w:tcPr>
            <w:tcW w:w="1656" w:type="dxa"/>
            <w:vAlign w:val="center"/>
          </w:tcPr>
          <w:p w14:paraId="164FCC11" w14:textId="77777777" w:rsidR="00762E5F" w:rsidRDefault="00F6330A" w:rsidP="00B34B59">
            <w:pPr>
              <w:spacing w:after="0" w:line="360" w:lineRule="auto"/>
              <w:jc w:val="center"/>
            </w:pPr>
            <w:r>
              <w:rPr>
                <w:b/>
                <w:sz w:val="20"/>
              </w:rPr>
              <w:t>K</w:t>
            </w:r>
          </w:p>
        </w:tc>
        <w:tc>
          <w:tcPr>
            <w:tcW w:w="1656" w:type="dxa"/>
            <w:vAlign w:val="center"/>
          </w:tcPr>
          <w:p w14:paraId="0E5455A9" w14:textId="77777777" w:rsidR="00762E5F" w:rsidRDefault="00000000" w:rsidP="00B34B59">
            <w:pPr>
              <w:spacing w:after="0" w:line="360" w:lineRule="auto"/>
              <w:jc w:val="center"/>
            </w:pPr>
            <w:r>
              <w:rPr>
                <w:b/>
                <w:sz w:val="20"/>
              </w:rPr>
              <w:t>Hedges g</w:t>
            </w:r>
          </w:p>
        </w:tc>
        <w:tc>
          <w:tcPr>
            <w:tcW w:w="1656" w:type="dxa"/>
            <w:vAlign w:val="center"/>
          </w:tcPr>
          <w:p w14:paraId="5466F1AF" w14:textId="77777777" w:rsidR="00762E5F" w:rsidRDefault="00000000" w:rsidP="00B34B59">
            <w:pPr>
              <w:spacing w:after="0" w:line="360" w:lineRule="auto"/>
              <w:jc w:val="center"/>
            </w:pPr>
            <w:r>
              <w:rPr>
                <w:b/>
                <w:sz w:val="20"/>
              </w:rPr>
              <w:t>IC 95%</w:t>
            </w:r>
          </w:p>
        </w:tc>
        <w:tc>
          <w:tcPr>
            <w:tcW w:w="1656" w:type="dxa"/>
            <w:vAlign w:val="center"/>
          </w:tcPr>
          <w:p w14:paraId="0C52B6BF" w14:textId="77777777" w:rsidR="00762E5F" w:rsidRDefault="00000000" w:rsidP="00B34B59">
            <w:pPr>
              <w:spacing w:after="0" w:line="360" w:lineRule="auto"/>
              <w:jc w:val="center"/>
            </w:pPr>
            <w:r>
              <w:rPr>
                <w:b/>
                <w:sz w:val="20"/>
              </w:rPr>
              <w:t>p</w:t>
            </w:r>
          </w:p>
        </w:tc>
        <w:tc>
          <w:tcPr>
            <w:tcW w:w="1656" w:type="dxa"/>
            <w:vAlign w:val="center"/>
          </w:tcPr>
          <w:p w14:paraId="5C396DA4" w14:textId="77777777" w:rsidR="00762E5F" w:rsidRDefault="00000000" w:rsidP="00B34B59">
            <w:pPr>
              <w:spacing w:after="0" w:line="360" w:lineRule="auto"/>
              <w:jc w:val="center"/>
            </w:pPr>
            <w:r>
              <w:rPr>
                <w:b/>
                <w:sz w:val="20"/>
              </w:rPr>
              <w:t>Interpretare</w:t>
            </w:r>
          </w:p>
        </w:tc>
      </w:tr>
      <w:tr w:rsidR="00762E5F" w14:paraId="4D9F9E2E" w14:textId="77777777">
        <w:trPr>
          <w:cantSplit/>
          <w:jc w:val="center"/>
        </w:trPr>
        <w:tc>
          <w:tcPr>
            <w:tcW w:w="1656" w:type="dxa"/>
            <w:vAlign w:val="center"/>
          </w:tcPr>
          <w:p w14:paraId="27508A19" w14:textId="77777777" w:rsidR="00762E5F" w:rsidRDefault="00000000" w:rsidP="00B34B59">
            <w:pPr>
              <w:spacing w:after="0" w:line="360" w:lineRule="auto"/>
            </w:pPr>
            <w:r>
              <w:rPr>
                <w:sz w:val="20"/>
              </w:rPr>
              <w:t>Efect global VR vs. non-VR</w:t>
            </w:r>
          </w:p>
        </w:tc>
        <w:tc>
          <w:tcPr>
            <w:tcW w:w="1656" w:type="dxa"/>
            <w:vAlign w:val="center"/>
          </w:tcPr>
          <w:p w14:paraId="57CE9F32" w14:textId="77777777" w:rsidR="00762E5F" w:rsidRDefault="00000000" w:rsidP="00B34B59">
            <w:pPr>
              <w:spacing w:after="0" w:line="360" w:lineRule="auto"/>
              <w:jc w:val="center"/>
            </w:pPr>
            <w:r>
              <w:rPr>
                <w:sz w:val="20"/>
              </w:rPr>
              <w:t>18</w:t>
            </w:r>
          </w:p>
        </w:tc>
        <w:tc>
          <w:tcPr>
            <w:tcW w:w="1656" w:type="dxa"/>
            <w:vAlign w:val="center"/>
          </w:tcPr>
          <w:p w14:paraId="2CBE3142" w14:textId="77777777" w:rsidR="00762E5F" w:rsidRDefault="00000000" w:rsidP="00B34B59">
            <w:pPr>
              <w:spacing w:after="0" w:line="360" w:lineRule="auto"/>
              <w:jc w:val="center"/>
            </w:pPr>
            <w:r>
              <w:rPr>
                <w:sz w:val="20"/>
              </w:rPr>
              <w:t>0,320</w:t>
            </w:r>
          </w:p>
        </w:tc>
        <w:tc>
          <w:tcPr>
            <w:tcW w:w="1656" w:type="dxa"/>
            <w:vAlign w:val="center"/>
          </w:tcPr>
          <w:p w14:paraId="177480A1" w14:textId="77777777" w:rsidR="00762E5F" w:rsidRDefault="00000000" w:rsidP="00B34B59">
            <w:pPr>
              <w:spacing w:after="0" w:line="360" w:lineRule="auto"/>
              <w:jc w:val="center"/>
            </w:pPr>
            <w:r>
              <w:rPr>
                <w:sz w:val="20"/>
              </w:rPr>
              <w:t>[0,189; 0,451]</w:t>
            </w:r>
          </w:p>
        </w:tc>
        <w:tc>
          <w:tcPr>
            <w:tcW w:w="1656" w:type="dxa"/>
            <w:vAlign w:val="center"/>
          </w:tcPr>
          <w:p w14:paraId="6B77572F" w14:textId="77777777" w:rsidR="00762E5F" w:rsidRDefault="00000000" w:rsidP="00B34B59">
            <w:pPr>
              <w:spacing w:after="0" w:line="360" w:lineRule="auto"/>
              <w:jc w:val="center"/>
            </w:pPr>
            <w:r>
              <w:rPr>
                <w:sz w:val="20"/>
              </w:rPr>
              <w:t>&lt; .001</w:t>
            </w:r>
          </w:p>
        </w:tc>
        <w:tc>
          <w:tcPr>
            <w:tcW w:w="1656" w:type="dxa"/>
            <w:vAlign w:val="center"/>
          </w:tcPr>
          <w:p w14:paraId="5C5896D7" w14:textId="77777777" w:rsidR="00762E5F" w:rsidRDefault="00000000" w:rsidP="00B34B59">
            <w:pPr>
              <w:spacing w:after="0" w:line="360" w:lineRule="auto"/>
              <w:jc w:val="center"/>
            </w:pPr>
            <w:r>
              <w:rPr>
                <w:sz w:val="20"/>
              </w:rPr>
              <w:t>efect mic, robust</w:t>
            </w:r>
          </w:p>
        </w:tc>
      </w:tr>
      <w:tr w:rsidR="00762E5F" w14:paraId="4942ACCC" w14:textId="77777777">
        <w:trPr>
          <w:cantSplit/>
          <w:jc w:val="center"/>
        </w:trPr>
        <w:tc>
          <w:tcPr>
            <w:tcW w:w="1656" w:type="dxa"/>
            <w:vAlign w:val="center"/>
          </w:tcPr>
          <w:p w14:paraId="7F843003" w14:textId="77777777" w:rsidR="00762E5F" w:rsidRDefault="00000000" w:rsidP="00B34B59">
            <w:pPr>
              <w:spacing w:after="0" w:line="360" w:lineRule="auto"/>
            </w:pPr>
            <w:r>
              <w:rPr>
                <w:sz w:val="20"/>
              </w:rPr>
              <w:t>Fără outlier</w:t>
            </w:r>
          </w:p>
        </w:tc>
        <w:tc>
          <w:tcPr>
            <w:tcW w:w="1656" w:type="dxa"/>
            <w:vAlign w:val="center"/>
          </w:tcPr>
          <w:p w14:paraId="0D32D31C" w14:textId="77777777" w:rsidR="00762E5F" w:rsidRDefault="00000000" w:rsidP="00B34B59">
            <w:pPr>
              <w:spacing w:after="0" w:line="360" w:lineRule="auto"/>
              <w:jc w:val="center"/>
            </w:pPr>
            <w:r>
              <w:rPr>
                <w:sz w:val="20"/>
              </w:rPr>
              <w:t>17</w:t>
            </w:r>
          </w:p>
        </w:tc>
        <w:tc>
          <w:tcPr>
            <w:tcW w:w="1656" w:type="dxa"/>
            <w:vAlign w:val="center"/>
          </w:tcPr>
          <w:p w14:paraId="71D9A1ED" w14:textId="77777777" w:rsidR="00762E5F" w:rsidRDefault="00000000" w:rsidP="00B34B59">
            <w:pPr>
              <w:spacing w:after="0" w:line="360" w:lineRule="auto"/>
              <w:jc w:val="center"/>
            </w:pPr>
            <w:r>
              <w:rPr>
                <w:sz w:val="20"/>
              </w:rPr>
              <w:t>0,362</w:t>
            </w:r>
          </w:p>
        </w:tc>
        <w:tc>
          <w:tcPr>
            <w:tcW w:w="1656" w:type="dxa"/>
            <w:vAlign w:val="center"/>
          </w:tcPr>
          <w:p w14:paraId="4525E93F" w14:textId="77777777" w:rsidR="00762E5F" w:rsidRDefault="00000000" w:rsidP="00B34B59">
            <w:pPr>
              <w:spacing w:after="0" w:line="360" w:lineRule="auto"/>
              <w:jc w:val="center"/>
            </w:pPr>
            <w:r>
              <w:rPr>
                <w:sz w:val="20"/>
              </w:rPr>
              <w:t>[0,242; 0,482]</w:t>
            </w:r>
          </w:p>
        </w:tc>
        <w:tc>
          <w:tcPr>
            <w:tcW w:w="1656" w:type="dxa"/>
            <w:vAlign w:val="center"/>
          </w:tcPr>
          <w:p w14:paraId="5A72024F" w14:textId="77777777" w:rsidR="00762E5F" w:rsidRDefault="00000000" w:rsidP="00B34B59">
            <w:pPr>
              <w:spacing w:after="0" w:line="360" w:lineRule="auto"/>
              <w:jc w:val="center"/>
            </w:pPr>
            <w:r>
              <w:rPr>
                <w:sz w:val="20"/>
              </w:rPr>
              <w:t>&lt; .001</w:t>
            </w:r>
          </w:p>
        </w:tc>
        <w:tc>
          <w:tcPr>
            <w:tcW w:w="1656" w:type="dxa"/>
            <w:vAlign w:val="center"/>
          </w:tcPr>
          <w:p w14:paraId="62CF642B" w14:textId="77777777" w:rsidR="00762E5F" w:rsidRDefault="00000000" w:rsidP="00B34B59">
            <w:pPr>
              <w:spacing w:after="0" w:line="360" w:lineRule="auto"/>
              <w:jc w:val="center"/>
            </w:pPr>
            <w:r>
              <w:rPr>
                <w:sz w:val="20"/>
              </w:rPr>
              <w:t>efect stabil</w:t>
            </w:r>
          </w:p>
        </w:tc>
      </w:tr>
      <w:tr w:rsidR="00762E5F" w14:paraId="441B88CE" w14:textId="77777777">
        <w:trPr>
          <w:cantSplit/>
          <w:jc w:val="center"/>
        </w:trPr>
        <w:tc>
          <w:tcPr>
            <w:tcW w:w="1656" w:type="dxa"/>
            <w:vAlign w:val="center"/>
          </w:tcPr>
          <w:p w14:paraId="1DEBEC85" w14:textId="77777777" w:rsidR="00762E5F" w:rsidRDefault="00000000" w:rsidP="00B34B59">
            <w:pPr>
              <w:spacing w:after="0" w:line="360" w:lineRule="auto"/>
            </w:pPr>
            <w:r>
              <w:rPr>
                <w:sz w:val="20"/>
              </w:rPr>
              <w:t>Control pasiv</w:t>
            </w:r>
          </w:p>
        </w:tc>
        <w:tc>
          <w:tcPr>
            <w:tcW w:w="1656" w:type="dxa"/>
            <w:vAlign w:val="center"/>
          </w:tcPr>
          <w:p w14:paraId="7EDD7F0F" w14:textId="77777777" w:rsidR="00762E5F" w:rsidRDefault="00000000" w:rsidP="00B34B59">
            <w:pPr>
              <w:spacing w:after="0" w:line="360" w:lineRule="auto"/>
              <w:jc w:val="center"/>
            </w:pPr>
            <w:r>
              <w:rPr>
                <w:sz w:val="20"/>
              </w:rPr>
              <w:t>7</w:t>
            </w:r>
          </w:p>
        </w:tc>
        <w:tc>
          <w:tcPr>
            <w:tcW w:w="1656" w:type="dxa"/>
            <w:vAlign w:val="center"/>
          </w:tcPr>
          <w:p w14:paraId="12604D00" w14:textId="77777777" w:rsidR="00762E5F" w:rsidRDefault="00000000" w:rsidP="00B34B59">
            <w:pPr>
              <w:spacing w:after="0" w:line="360" w:lineRule="auto"/>
              <w:jc w:val="center"/>
            </w:pPr>
            <w:r>
              <w:rPr>
                <w:sz w:val="20"/>
              </w:rPr>
              <w:t>0,457</w:t>
            </w:r>
          </w:p>
        </w:tc>
        <w:tc>
          <w:tcPr>
            <w:tcW w:w="1656" w:type="dxa"/>
            <w:vAlign w:val="center"/>
          </w:tcPr>
          <w:p w14:paraId="1376B7DE" w14:textId="77777777" w:rsidR="00762E5F" w:rsidRDefault="00000000" w:rsidP="00B34B59">
            <w:pPr>
              <w:spacing w:after="0" w:line="360" w:lineRule="auto"/>
              <w:jc w:val="center"/>
            </w:pPr>
            <w:r>
              <w:rPr>
                <w:sz w:val="20"/>
              </w:rPr>
              <w:t>[0,266; 0,649]</w:t>
            </w:r>
          </w:p>
        </w:tc>
        <w:tc>
          <w:tcPr>
            <w:tcW w:w="1656" w:type="dxa"/>
            <w:vAlign w:val="center"/>
          </w:tcPr>
          <w:p w14:paraId="4C788256" w14:textId="77777777" w:rsidR="00762E5F" w:rsidRDefault="00000000" w:rsidP="00B34B59">
            <w:pPr>
              <w:spacing w:after="0" w:line="360" w:lineRule="auto"/>
              <w:jc w:val="center"/>
            </w:pPr>
            <w:r>
              <w:rPr>
                <w:sz w:val="20"/>
              </w:rPr>
              <w:t>&lt; .001</w:t>
            </w:r>
          </w:p>
        </w:tc>
        <w:tc>
          <w:tcPr>
            <w:tcW w:w="1656" w:type="dxa"/>
            <w:vAlign w:val="center"/>
          </w:tcPr>
          <w:p w14:paraId="462CEA0B" w14:textId="77777777" w:rsidR="00762E5F" w:rsidRDefault="00000000" w:rsidP="00B34B59">
            <w:pPr>
              <w:spacing w:after="0" w:line="360" w:lineRule="auto"/>
              <w:jc w:val="center"/>
            </w:pPr>
            <w:r>
              <w:rPr>
                <w:sz w:val="20"/>
              </w:rPr>
              <w:t>efect mic spre moderat</w:t>
            </w:r>
          </w:p>
        </w:tc>
      </w:tr>
      <w:tr w:rsidR="00762E5F" w14:paraId="70365E8B" w14:textId="77777777">
        <w:trPr>
          <w:cantSplit/>
          <w:jc w:val="center"/>
        </w:trPr>
        <w:tc>
          <w:tcPr>
            <w:tcW w:w="1656" w:type="dxa"/>
            <w:vAlign w:val="center"/>
          </w:tcPr>
          <w:p w14:paraId="6F5C1462" w14:textId="77777777" w:rsidR="00762E5F" w:rsidRDefault="00000000" w:rsidP="00B34B59">
            <w:pPr>
              <w:spacing w:after="0" w:line="360" w:lineRule="auto"/>
            </w:pPr>
            <w:r>
              <w:rPr>
                <w:sz w:val="20"/>
              </w:rPr>
              <w:t>Control activ</w:t>
            </w:r>
          </w:p>
        </w:tc>
        <w:tc>
          <w:tcPr>
            <w:tcW w:w="1656" w:type="dxa"/>
            <w:vAlign w:val="center"/>
          </w:tcPr>
          <w:p w14:paraId="3A86F3BB" w14:textId="77777777" w:rsidR="00762E5F" w:rsidRDefault="00000000" w:rsidP="00B34B59">
            <w:pPr>
              <w:spacing w:after="0" w:line="360" w:lineRule="auto"/>
              <w:jc w:val="center"/>
            </w:pPr>
            <w:r>
              <w:rPr>
                <w:sz w:val="20"/>
              </w:rPr>
              <w:t>11</w:t>
            </w:r>
          </w:p>
        </w:tc>
        <w:tc>
          <w:tcPr>
            <w:tcW w:w="1656" w:type="dxa"/>
            <w:vAlign w:val="center"/>
          </w:tcPr>
          <w:p w14:paraId="664117C9" w14:textId="77777777" w:rsidR="00762E5F" w:rsidRDefault="00000000" w:rsidP="00B34B59">
            <w:pPr>
              <w:spacing w:after="0" w:line="360" w:lineRule="auto"/>
              <w:jc w:val="center"/>
            </w:pPr>
            <w:r>
              <w:rPr>
                <w:sz w:val="20"/>
              </w:rPr>
              <w:t>0,226</w:t>
            </w:r>
          </w:p>
        </w:tc>
        <w:tc>
          <w:tcPr>
            <w:tcW w:w="1656" w:type="dxa"/>
            <w:vAlign w:val="center"/>
          </w:tcPr>
          <w:p w14:paraId="6A3A6577" w14:textId="77777777" w:rsidR="00762E5F" w:rsidRDefault="00000000" w:rsidP="00B34B59">
            <w:pPr>
              <w:spacing w:after="0" w:line="360" w:lineRule="auto"/>
              <w:jc w:val="center"/>
            </w:pPr>
            <w:r>
              <w:rPr>
                <w:sz w:val="20"/>
              </w:rPr>
              <w:t>[0,036; 0,416]</w:t>
            </w:r>
          </w:p>
        </w:tc>
        <w:tc>
          <w:tcPr>
            <w:tcW w:w="1656" w:type="dxa"/>
            <w:vAlign w:val="center"/>
          </w:tcPr>
          <w:p w14:paraId="5D537233" w14:textId="77777777" w:rsidR="00762E5F" w:rsidRDefault="00000000" w:rsidP="00B34B59">
            <w:pPr>
              <w:spacing w:after="0" w:line="360" w:lineRule="auto"/>
              <w:jc w:val="center"/>
            </w:pPr>
            <w:r>
              <w:rPr>
                <w:sz w:val="20"/>
              </w:rPr>
              <w:t>.020</w:t>
            </w:r>
          </w:p>
        </w:tc>
        <w:tc>
          <w:tcPr>
            <w:tcW w:w="1656" w:type="dxa"/>
            <w:vAlign w:val="center"/>
          </w:tcPr>
          <w:p w14:paraId="655104E9" w14:textId="77777777" w:rsidR="00762E5F" w:rsidRDefault="00000000" w:rsidP="00B34B59">
            <w:pPr>
              <w:spacing w:after="0" w:line="360" w:lineRule="auto"/>
              <w:jc w:val="center"/>
            </w:pPr>
            <w:r>
              <w:rPr>
                <w:sz w:val="20"/>
              </w:rPr>
              <w:t>efect mic</w:t>
            </w:r>
          </w:p>
        </w:tc>
      </w:tr>
    </w:tbl>
    <w:p w14:paraId="70D5FD05" w14:textId="77777777" w:rsidR="00762E5F" w:rsidRDefault="00762E5F" w:rsidP="00B34B59">
      <w:pPr>
        <w:spacing w:after="0" w:line="360" w:lineRule="auto"/>
      </w:pPr>
    </w:p>
    <w:p w14:paraId="5C5892D7" w14:textId="77777777" w:rsidR="00762E5F" w:rsidRPr="00F6330A" w:rsidRDefault="00000000" w:rsidP="00B34B59">
      <w:pPr>
        <w:pStyle w:val="Heading3"/>
        <w:spacing w:before="0" w:after="0" w:line="360" w:lineRule="auto"/>
        <w:rPr>
          <w:color w:val="000000" w:themeColor="text1"/>
        </w:rPr>
      </w:pPr>
      <w:r w:rsidRPr="00F6330A">
        <w:rPr>
          <w:rFonts w:ascii="Times New Roman" w:eastAsia="Times New Roman" w:hAnsi="Times New Roman"/>
          <w:color w:val="000000" w:themeColor="text1"/>
        </w:rPr>
        <w:t>3.1.4. Discuții și concluzii</w:t>
      </w:r>
    </w:p>
    <w:p w14:paraId="4D061CD8" w14:textId="77777777" w:rsidR="00762E5F" w:rsidRDefault="00F6330A" w:rsidP="00B34B59">
      <w:pPr>
        <w:spacing w:after="0" w:line="360" w:lineRule="auto"/>
        <w:jc w:val="both"/>
      </w:pPr>
      <w:r>
        <w:tab/>
        <w:t>Rezultatele Studiului 1 indică faptul că intervențiile psihologice bazate pe realitate virtuală pot crește afectul pozitiv într-o măsură mică, dar semnificativă și relativ consistentă. Această concluzie este importantă deoarece sintetizează exclusiv studii randomizate controlate. Ea se înscrie în literatura anterioară care sugerează că VR poate susține inclusiv creșterea afectului pozitiv, deși efectele sunt de obicei moderate și dependente de context (Bolouki, 2024; Li Pira et al., 2023).</w:t>
      </w:r>
    </w:p>
    <w:p w14:paraId="7E8D6308" w14:textId="77777777" w:rsidR="00762E5F" w:rsidRDefault="00F6330A" w:rsidP="00B34B59">
      <w:pPr>
        <w:spacing w:after="0" w:line="360" w:lineRule="auto"/>
        <w:jc w:val="both"/>
      </w:pPr>
      <w:r>
        <w:tab/>
        <w:t>Mărimea efectului sugerează că VR nu trebuie considerată o tehnologie cu efecte afective spectaculoase sau uniforme, ci un mediu care poate produce beneficii modeste atunci când este comparat cu alternativele non-VR. Faptul că efectul s-a menținut și în comparațiile cu grupuri active de control este relevant, deoarece arată că rezultatele nu pot fi explicate doar prin contrastul cu absența unei intervenții.</w:t>
      </w:r>
    </w:p>
    <w:p w14:paraId="111D1E93" w14:textId="77777777" w:rsidR="00762E5F" w:rsidRDefault="00F6330A" w:rsidP="00B34B59">
      <w:pPr>
        <w:spacing w:after="0" w:line="360" w:lineRule="auto"/>
        <w:jc w:val="both"/>
      </w:pPr>
      <w:r>
        <w:tab/>
        <w:t>Totuși, lipsa moderatorilor semnificativi indică faptul că baza de date disponibilă este încă limitată pentru a stabili cu precizie în ce condiții VR produce cele mai puternice efecte asupra afectului pozitiv. Viitoarele cercetări ar trebui să includă eșantioane mai mari, instrumente mai uniforme de măsurare, follow-up longitudinal și raportarea sistematică a prezenței, întrucât literatura despre rolul prezenței în rezultatele VR rămâne mixtă (Ling et al., 2014; Price &amp; Anderson, 2007).</w:t>
      </w:r>
    </w:p>
    <w:p w14:paraId="252A99D6" w14:textId="77777777" w:rsidR="00762E5F" w:rsidRDefault="008841E3" w:rsidP="00B34B59">
      <w:pPr>
        <w:spacing w:after="0" w:line="360" w:lineRule="auto"/>
        <w:jc w:val="both"/>
      </w:pPr>
      <w:r>
        <w:tab/>
        <w:t xml:space="preserve">În cadrul tezei, acest studiu oferă fundamentul empiric pentru includerea afectului pozitiv ca rezultat secundar în evaluarea aplicației </w:t>
      </w:r>
      <w:r>
        <w:rPr>
          <w:i/>
        </w:rPr>
        <w:t>Future Psychotherapists</w:t>
      </w:r>
      <w:r>
        <w:t>. Dacă o experiență VR poate susține implicarea afectivă pozitivă, atunci această variabilă poate fi relevantă pentru acceptabilitatea și atractivitatea unui instrument de training pentru viitorii psihoterapeuți.</w:t>
      </w:r>
    </w:p>
    <w:p w14:paraId="6E5C7590" w14:textId="77777777" w:rsidR="00762E5F" w:rsidRDefault="00000000" w:rsidP="00B34B59">
      <w:pPr>
        <w:spacing w:after="0" w:line="360" w:lineRule="auto"/>
      </w:pPr>
      <w:r>
        <w:br w:type="page"/>
      </w:r>
    </w:p>
    <w:p w14:paraId="6C1718CF" w14:textId="447C0A44" w:rsidR="00762E5F" w:rsidRPr="008E6496" w:rsidRDefault="00000000" w:rsidP="00B34B59">
      <w:pPr>
        <w:pStyle w:val="Heading2"/>
        <w:spacing w:after="0" w:line="360" w:lineRule="auto"/>
        <w:jc w:val="both"/>
        <w:rPr>
          <w:color w:val="000000" w:themeColor="text1"/>
        </w:rPr>
      </w:pPr>
      <w:r w:rsidRPr="008E6496">
        <w:rPr>
          <w:rFonts w:ascii="Times New Roman" w:eastAsia="Times New Roman" w:hAnsi="Times New Roman"/>
          <w:color w:val="000000" w:themeColor="text1"/>
        </w:rPr>
        <w:t>3.2. Studiul 2. Fezabilitatea și utilizabilitatea unui training VR pentru abilități</w:t>
      </w:r>
      <w:r w:rsidR="00823CBB">
        <w:rPr>
          <w:rFonts w:ascii="Times New Roman" w:eastAsia="Times New Roman" w:hAnsi="Times New Roman"/>
          <w:color w:val="000000" w:themeColor="text1"/>
        </w:rPr>
        <w:t>le</w:t>
      </w:r>
      <w:r w:rsidRPr="008E6496">
        <w:rPr>
          <w:rFonts w:ascii="Times New Roman" w:eastAsia="Times New Roman" w:hAnsi="Times New Roman"/>
          <w:color w:val="000000" w:themeColor="text1"/>
        </w:rPr>
        <w:t xml:space="preserve"> relație</w:t>
      </w:r>
      <w:r w:rsidR="00823CBB">
        <w:rPr>
          <w:rFonts w:ascii="Times New Roman" w:eastAsia="Times New Roman" w:hAnsi="Times New Roman"/>
          <w:color w:val="000000" w:themeColor="text1"/>
        </w:rPr>
        <w:t>i</w:t>
      </w:r>
      <w:r w:rsidRPr="008E6496">
        <w:rPr>
          <w:rFonts w:ascii="Times New Roman" w:eastAsia="Times New Roman" w:hAnsi="Times New Roman"/>
          <w:color w:val="000000" w:themeColor="text1"/>
        </w:rPr>
        <w:t xml:space="preserve"> terapeutic</w:t>
      </w:r>
      <w:r w:rsidR="00823CBB">
        <w:rPr>
          <w:rFonts w:ascii="Times New Roman" w:eastAsia="Times New Roman" w:hAnsi="Times New Roman"/>
          <w:color w:val="000000" w:themeColor="text1"/>
        </w:rPr>
        <w:t>e</w:t>
      </w:r>
      <w:r w:rsidRPr="008E6496">
        <w:rPr>
          <w:rFonts w:ascii="Times New Roman" w:eastAsia="Times New Roman" w:hAnsi="Times New Roman"/>
          <w:color w:val="000000" w:themeColor="text1"/>
        </w:rPr>
        <w:t xml:space="preserve"> la viitorii psihoterapeuți: studiu pilot</w:t>
      </w:r>
      <w:r w:rsidR="008E6496">
        <w:rPr>
          <w:rStyle w:val="FootnoteReference"/>
          <w:rFonts w:ascii="Times New Roman" w:eastAsia="Times New Roman" w:hAnsi="Times New Roman"/>
          <w:color w:val="000000" w:themeColor="text1"/>
        </w:rPr>
        <w:footnoteReference w:id="1"/>
      </w:r>
    </w:p>
    <w:p w14:paraId="4D1FB502" w14:textId="77777777" w:rsidR="00762E5F" w:rsidRPr="008E6496" w:rsidRDefault="008E6496" w:rsidP="00B34B59">
      <w:pPr>
        <w:pStyle w:val="Heading3"/>
        <w:spacing w:after="0" w:line="360" w:lineRule="auto"/>
        <w:rPr>
          <w:color w:val="000000" w:themeColor="text1"/>
        </w:rPr>
      </w:pPr>
      <w:r>
        <w:rPr>
          <w:rFonts w:ascii="Times New Roman" w:eastAsia="Times New Roman" w:hAnsi="Times New Roman"/>
          <w:color w:val="000000" w:themeColor="text1"/>
        </w:rPr>
        <w:t xml:space="preserve">3.2.1 </w:t>
      </w:r>
      <w:r w:rsidRPr="008E6496">
        <w:rPr>
          <w:rFonts w:ascii="Times New Roman" w:eastAsia="Times New Roman" w:hAnsi="Times New Roman"/>
          <w:color w:val="000000" w:themeColor="text1"/>
        </w:rPr>
        <w:t>Introducere</w:t>
      </w:r>
    </w:p>
    <w:p w14:paraId="546FF8A6" w14:textId="77777777" w:rsidR="00762E5F" w:rsidRDefault="008E6496" w:rsidP="00B34B59">
      <w:pPr>
        <w:spacing w:after="0" w:line="360" w:lineRule="auto"/>
        <w:jc w:val="both"/>
      </w:pPr>
      <w:r>
        <w:tab/>
        <w:t xml:space="preserve">Studiul 2 a reprezentat prima evaluare empirică a aplicației </w:t>
      </w:r>
      <w:r>
        <w:rPr>
          <w:i/>
          <w:iCs/>
        </w:rPr>
        <w:t>Future Psychotherapists</w:t>
      </w:r>
      <w:r>
        <w:t xml:space="preserve">. Aplicația a fost construită pe baza literaturii care arată că relația terapeutică reprezintă unul dintre cei mai importanți factori asociați cu rezultatele psihoterapiei (Norcross &amp; Karpiak, 2025) și că empatia și alianța terapeutică </w:t>
      </w:r>
      <w:r w:rsidR="00F36A09">
        <w:t xml:space="preserve">sunt considerate elemente de ordin superior </w:t>
      </w:r>
      <w:r w:rsidR="00F36A09" w:rsidRPr="00712A7D">
        <w:rPr>
          <w:rFonts w:cs="Times New Roman"/>
        </w:rPr>
        <w:t>(Horvath et al., 2016, as cited in Norcross &amp; Lambert, 2018)</w:t>
      </w:r>
      <w:r w:rsidR="00F36A09">
        <w:rPr>
          <w:rFonts w:cs="Times New Roman"/>
        </w:rPr>
        <w:t>.</w:t>
      </w:r>
      <w:r>
        <w:t xml:space="preserve"> În formarea viitorilor psihoterapeuți, aceste competențe trebuie exersate, observate, discutate și corectate, ceea ce justifică utilizarea unor metode active de training (Beidas &amp; Kendall, 2010; Frank et al., 2020; Rønning &amp; Bjørkly, 2019).</w:t>
      </w:r>
    </w:p>
    <w:p w14:paraId="66A2D9DC" w14:textId="5854D81A" w:rsidR="00762E5F" w:rsidRDefault="008E6496" w:rsidP="00B34B59">
      <w:pPr>
        <w:spacing w:after="0" w:line="360" w:lineRule="auto"/>
        <w:jc w:val="both"/>
      </w:pPr>
      <w:r>
        <w:tab/>
      </w:r>
      <w:r>
        <w:rPr>
          <w:i/>
        </w:rPr>
        <w:t>Future Psychotherapists</w:t>
      </w:r>
      <w:r>
        <w:t xml:space="preserve"> a </w:t>
      </w:r>
      <w:r w:rsidR="00997EE8" w:rsidRPr="00997EE8">
        <w:t>fost concepută ca un scenariu interactiv de psihoterapie individuală în realitate virtuală. În cadrul scenariului, utilizatorul interacționează cu un client virtual și parcurge o serie de 16 noduri decizionale</w:t>
      </w:r>
      <w:r w:rsidR="00204871">
        <w:t xml:space="preserve"> (Figura 1)</w:t>
      </w:r>
      <w:r w:rsidR="00997EE8" w:rsidRPr="00997EE8">
        <w:t>. La fiecare nod decizional, utilizatorul alege, dintr-un set de opțiuni predefinite, răspunsul terapeutic pe care îl consideră cel mai adecvat.</w:t>
      </w:r>
      <w:r w:rsidR="00997EE8">
        <w:t xml:space="preserve"> </w:t>
      </w:r>
      <w:r w:rsidR="00997EE8" w:rsidRPr="00997EE8">
        <w:t>Scenariul urmărește antrenarea unor răspunsuri relevante pentru dezvoltarea empatiei și a alianței terapeutice. La final, utilizatorul primește feedback sumativ</w:t>
      </w:r>
      <w:r w:rsidR="00204871">
        <w:t xml:space="preserve"> (Figura 2)</w:t>
      </w:r>
      <w:r w:rsidR="00997EE8" w:rsidRPr="00997EE8">
        <w:t xml:space="preserve"> privind numărul de răspunsuri corecte. De asemenea, aplicația include o componentă de feedback formativ, prin care utilizatorul poate revedea secvențele</w:t>
      </w:r>
      <w:r w:rsidR="00204871">
        <w:t xml:space="preserve"> (Figura 3)</w:t>
      </w:r>
      <w:r w:rsidR="00997EE8" w:rsidRPr="00997EE8">
        <w:t xml:space="preserve"> în care a ales un răspuns incorect, poate compara alegerea sa cu opțiunea validată de experți și poate relua scenariul.</w:t>
      </w:r>
      <w:r w:rsidR="00997EE8">
        <w:t xml:space="preserve"> </w:t>
      </w:r>
    </w:p>
    <w:p w14:paraId="108CB9CC" w14:textId="77777777" w:rsidR="00762E5F" w:rsidRDefault="00F36A09" w:rsidP="00B34B59">
      <w:pPr>
        <w:spacing w:after="0" w:line="360" w:lineRule="auto"/>
        <w:jc w:val="both"/>
      </w:pPr>
      <w:r>
        <w:tab/>
        <w:t xml:space="preserve">Obiectivul principal al studiului a fost evaluarea fezabilității și utilizabilității aplicației. Fezabilitatea a fost operaționalizată prin nivelul </w:t>
      </w:r>
      <w:r w:rsidR="00997EE8">
        <w:t>răului de simulator</w:t>
      </w:r>
      <w:r>
        <w:t xml:space="preserve">, măsurat cu </w:t>
      </w:r>
      <w:r>
        <w:rPr>
          <w:i/>
        </w:rPr>
        <w:t>Simulator Sickness Questionnaire</w:t>
      </w:r>
      <w:r>
        <w:t xml:space="preserve"> (Kennedy et al., 1993). Utilizabilitatea a fost măsurată prin </w:t>
      </w:r>
      <w:r>
        <w:rPr>
          <w:i/>
        </w:rPr>
        <w:t>System Usability Scale</w:t>
      </w:r>
      <w:r>
        <w:t xml:space="preserve"> (Brooke, 1996), iar încărcarea cognitivă a fost măsurată prin </w:t>
      </w:r>
      <w:r>
        <w:rPr>
          <w:i/>
        </w:rPr>
        <w:t>NASA Task Load Index</w:t>
      </w:r>
      <w:r>
        <w:t xml:space="preserve"> (Hart &amp; Staveland, 1988). Un obiectiv explorator a vizat examinarea schimbărilor pre-post în empatia </w:t>
      </w:r>
      <w:r w:rsidR="00DD6165">
        <w:t>ca</w:t>
      </w:r>
      <w:r>
        <w:t xml:space="preserve"> stare, măsurată prin </w:t>
      </w:r>
      <w:r>
        <w:rPr>
          <w:i/>
        </w:rPr>
        <w:t>State Empathy Scale</w:t>
      </w:r>
      <w:r>
        <w:t xml:space="preserve"> (Shen, 2010).</w:t>
      </w:r>
    </w:p>
    <w:p w14:paraId="432C83F1" w14:textId="58C7B4D2" w:rsidR="001D31C9" w:rsidRDefault="00E32DA1" w:rsidP="00B34B59">
      <w:pPr>
        <w:pStyle w:val="Heading3"/>
        <w:spacing w:after="0" w:line="360" w:lineRule="auto"/>
        <w:rPr>
          <w:rFonts w:ascii="Times New Roman" w:eastAsia="Times New Roman" w:hAnsi="Times New Roman"/>
          <w:color w:val="000000" w:themeColor="text1"/>
        </w:rPr>
      </w:pPr>
      <w:r>
        <w:rPr>
          <w:rFonts w:ascii="Times New Roman" w:hAnsi="Times New Roman" w:cs="Times New Roman"/>
          <w:color w:val="000000" w:themeColor="text1"/>
        </w:rPr>
        <w:tab/>
      </w:r>
      <w:r w:rsidRPr="001D31C9">
        <w:rPr>
          <w:rFonts w:ascii="Times New Roman" w:hAnsi="Times New Roman" w:cs="Times New Roman"/>
          <w:color w:val="000000" w:themeColor="text1"/>
        </w:rPr>
        <w:t xml:space="preserve">Figura 1. </w:t>
      </w:r>
      <w:r w:rsidRPr="001D31C9">
        <w:rPr>
          <w:rFonts w:ascii="Times New Roman" w:hAnsi="Times New Roman" w:cs="Times New Roman"/>
          <w:b w:val="0"/>
          <w:bCs w:val="0"/>
          <w:i/>
          <w:iCs/>
          <w:color w:val="000000" w:themeColor="text1"/>
        </w:rPr>
        <w:t>Exemplu de nod decizional în narațiunea ramificată</w:t>
      </w:r>
    </w:p>
    <w:p w14:paraId="17F1873C" w14:textId="0070C079" w:rsidR="001D31C9" w:rsidRDefault="00E32DA1" w:rsidP="00B34B59">
      <w:pPr>
        <w:pStyle w:val="Heading3"/>
        <w:spacing w:after="0" w:line="360" w:lineRule="auto"/>
        <w:rPr>
          <w:rFonts w:ascii="Times New Roman" w:eastAsia="Times New Roman" w:hAnsi="Times New Roman"/>
          <w:color w:val="000000" w:themeColor="text1"/>
        </w:rPr>
      </w:pPr>
      <w:r w:rsidRPr="00712A7D">
        <w:rPr>
          <w:rFonts w:ascii="Calibri" w:eastAsia="Calibri" w:hAnsi="Calibri" w:cs="Times New Roman"/>
          <w:noProof/>
        </w:rPr>
        <w:drawing>
          <wp:anchor distT="0" distB="0" distL="115200" distR="115200" simplePos="0" relativeHeight="251657216" behindDoc="1" locked="0" layoutInCell="1" allowOverlap="1" wp14:anchorId="2B7C8D44" wp14:editId="642F4552">
            <wp:simplePos x="0" y="0"/>
            <wp:positionH relativeFrom="column">
              <wp:posOffset>669925</wp:posOffset>
            </wp:positionH>
            <wp:positionV relativeFrom="paragraph">
              <wp:posOffset>59690</wp:posOffset>
            </wp:positionV>
            <wp:extent cx="4383405" cy="2187575"/>
            <wp:effectExtent l="0" t="0" r="0" b="3175"/>
            <wp:wrapNone/>
            <wp:docPr id="3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83405" cy="2187575"/>
                    </a:xfrm>
                    <a:prstGeom prst="rect">
                      <a:avLst/>
                    </a:prstGeom>
                    <a:noFill/>
                  </pic:spPr>
                </pic:pic>
              </a:graphicData>
            </a:graphic>
            <wp14:sizeRelH relativeFrom="page">
              <wp14:pctWidth>0</wp14:pctWidth>
            </wp14:sizeRelH>
            <wp14:sizeRelV relativeFrom="page">
              <wp14:pctHeight>0</wp14:pctHeight>
            </wp14:sizeRelV>
          </wp:anchor>
        </w:drawing>
      </w:r>
    </w:p>
    <w:p w14:paraId="046C4E7D" w14:textId="27B6CCB5" w:rsidR="001D31C9" w:rsidRDefault="001D31C9" w:rsidP="00B34B59">
      <w:pPr>
        <w:pStyle w:val="Heading3"/>
        <w:spacing w:after="0" w:line="360" w:lineRule="auto"/>
        <w:rPr>
          <w:rFonts w:ascii="Times New Roman" w:eastAsia="Times New Roman" w:hAnsi="Times New Roman"/>
          <w:color w:val="000000" w:themeColor="text1"/>
        </w:rPr>
      </w:pPr>
    </w:p>
    <w:p w14:paraId="4022AEEC" w14:textId="5BD1E2F9" w:rsidR="001D31C9" w:rsidRDefault="001D31C9" w:rsidP="00B34B59">
      <w:pPr>
        <w:pStyle w:val="Heading3"/>
        <w:spacing w:after="0" w:line="360" w:lineRule="auto"/>
        <w:rPr>
          <w:rFonts w:ascii="Times New Roman" w:eastAsia="Times New Roman" w:hAnsi="Times New Roman"/>
          <w:color w:val="000000" w:themeColor="text1"/>
        </w:rPr>
      </w:pPr>
    </w:p>
    <w:p w14:paraId="03B7B885" w14:textId="5C638633" w:rsidR="001D31C9" w:rsidRPr="001D31C9" w:rsidRDefault="001D31C9" w:rsidP="001D31C9">
      <w:pPr>
        <w:pStyle w:val="Heading3"/>
        <w:spacing w:after="0" w:line="360" w:lineRule="auto"/>
        <w:jc w:val="center"/>
        <w:rPr>
          <w:rFonts w:ascii="Times New Roman" w:hAnsi="Times New Roman" w:cs="Times New Roman"/>
          <w:color w:val="000000" w:themeColor="text1"/>
        </w:rPr>
      </w:pPr>
    </w:p>
    <w:p w14:paraId="5C4260A9" w14:textId="3803A735" w:rsidR="001D31C9" w:rsidRDefault="001D31C9" w:rsidP="00B34B59">
      <w:pPr>
        <w:pStyle w:val="Heading3"/>
        <w:spacing w:after="0" w:line="360" w:lineRule="auto"/>
        <w:rPr>
          <w:rFonts w:ascii="Times New Roman" w:eastAsia="Times New Roman" w:hAnsi="Times New Roman"/>
          <w:color w:val="000000" w:themeColor="text1"/>
        </w:rPr>
      </w:pPr>
    </w:p>
    <w:p w14:paraId="387670BB" w14:textId="0D54B204" w:rsidR="001D31C9" w:rsidRDefault="001D31C9" w:rsidP="00B34B59">
      <w:pPr>
        <w:pStyle w:val="Heading3"/>
        <w:spacing w:after="0" w:line="360" w:lineRule="auto"/>
        <w:rPr>
          <w:rFonts w:ascii="Times New Roman" w:eastAsia="Times New Roman" w:hAnsi="Times New Roman"/>
          <w:color w:val="000000" w:themeColor="text1"/>
        </w:rPr>
      </w:pPr>
    </w:p>
    <w:p w14:paraId="312EE53E" w14:textId="7E98C855" w:rsidR="001D31C9" w:rsidRDefault="00E32DA1" w:rsidP="00004CD5">
      <w:pPr>
        <w:pStyle w:val="Heading3"/>
        <w:spacing w:after="0" w:line="360" w:lineRule="auto"/>
        <w:jc w:val="center"/>
        <w:rPr>
          <w:rFonts w:ascii="Times New Roman" w:eastAsia="Times New Roman" w:hAnsi="Times New Roman"/>
          <w:color w:val="000000" w:themeColor="text1"/>
        </w:rPr>
      </w:pPr>
      <w:r w:rsidRPr="00712A7D">
        <w:rPr>
          <w:rFonts w:ascii="Calibri" w:eastAsia="Calibri" w:hAnsi="Calibri" w:cs="Times New Roman"/>
          <w:noProof/>
        </w:rPr>
        <w:drawing>
          <wp:anchor distT="114300" distB="114300" distL="114300" distR="114300" simplePos="0" relativeHeight="251658240" behindDoc="1" locked="0" layoutInCell="1" allowOverlap="1" wp14:anchorId="1CAC3545" wp14:editId="32A46B3B">
            <wp:simplePos x="0" y="0"/>
            <wp:positionH relativeFrom="margin">
              <wp:posOffset>756285</wp:posOffset>
            </wp:positionH>
            <wp:positionV relativeFrom="paragraph">
              <wp:posOffset>633730</wp:posOffset>
            </wp:positionV>
            <wp:extent cx="4459605" cy="2338070"/>
            <wp:effectExtent l="0" t="0" r="0" b="5080"/>
            <wp:wrapNone/>
            <wp:docPr id="28"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59605" cy="233807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themeColor="text1"/>
        </w:rPr>
        <w:t xml:space="preserve">          </w:t>
      </w:r>
      <w:r w:rsidR="00004CD5" w:rsidRPr="00004CD5">
        <w:rPr>
          <w:rFonts w:ascii="Times New Roman" w:eastAsia="Times New Roman" w:hAnsi="Times New Roman"/>
          <w:color w:val="000000" w:themeColor="text1"/>
        </w:rPr>
        <w:t>Figura 2.</w:t>
      </w:r>
      <w:r w:rsidR="00004CD5" w:rsidRPr="00004CD5">
        <w:rPr>
          <w:rFonts w:ascii="Times New Roman" w:eastAsia="Times New Roman" w:hAnsi="Times New Roman"/>
          <w:b w:val="0"/>
          <w:bCs w:val="0"/>
          <w:i/>
          <w:iCs/>
          <w:color w:val="000000" w:themeColor="text1"/>
        </w:rPr>
        <w:t xml:space="preserve"> Ecranul de feedback sumativ care afișează numărul de răspunsuri corecte pentru fiecare abilitate vizată.</w:t>
      </w:r>
    </w:p>
    <w:p w14:paraId="51163CD7" w14:textId="6355108F" w:rsidR="001D31C9" w:rsidRDefault="001D31C9" w:rsidP="00B34B59">
      <w:pPr>
        <w:pStyle w:val="Heading3"/>
        <w:spacing w:after="0" w:line="360" w:lineRule="auto"/>
        <w:rPr>
          <w:rFonts w:ascii="Times New Roman" w:eastAsia="Times New Roman" w:hAnsi="Times New Roman"/>
          <w:color w:val="000000" w:themeColor="text1"/>
        </w:rPr>
      </w:pPr>
    </w:p>
    <w:p w14:paraId="034D64CC" w14:textId="280CAB5A" w:rsidR="001D31C9" w:rsidRDefault="001D31C9" w:rsidP="00B34B59">
      <w:pPr>
        <w:pStyle w:val="Heading3"/>
        <w:spacing w:after="0" w:line="360" w:lineRule="auto"/>
        <w:rPr>
          <w:rFonts w:ascii="Times New Roman" w:eastAsia="Times New Roman" w:hAnsi="Times New Roman"/>
          <w:color w:val="000000" w:themeColor="text1"/>
        </w:rPr>
      </w:pPr>
    </w:p>
    <w:p w14:paraId="3D859799" w14:textId="3DF0D161" w:rsidR="001D31C9" w:rsidRDefault="001D31C9" w:rsidP="00B34B59">
      <w:pPr>
        <w:pStyle w:val="Heading3"/>
        <w:spacing w:after="0" w:line="360" w:lineRule="auto"/>
        <w:rPr>
          <w:rFonts w:ascii="Times New Roman" w:eastAsia="Times New Roman" w:hAnsi="Times New Roman"/>
          <w:color w:val="000000" w:themeColor="text1"/>
        </w:rPr>
      </w:pPr>
    </w:p>
    <w:p w14:paraId="5BF112D5" w14:textId="3FBC7B2D" w:rsidR="001D31C9" w:rsidRDefault="001D31C9" w:rsidP="00B34B59">
      <w:pPr>
        <w:pStyle w:val="Heading3"/>
        <w:spacing w:after="0" w:line="360" w:lineRule="auto"/>
        <w:rPr>
          <w:rFonts w:ascii="Times New Roman" w:eastAsia="Times New Roman" w:hAnsi="Times New Roman"/>
          <w:color w:val="000000" w:themeColor="text1"/>
        </w:rPr>
      </w:pPr>
    </w:p>
    <w:p w14:paraId="375BD233" w14:textId="42FADD42" w:rsidR="001D31C9" w:rsidRDefault="001D31C9" w:rsidP="00B34B59">
      <w:pPr>
        <w:pStyle w:val="Heading3"/>
        <w:spacing w:after="0" w:line="360" w:lineRule="auto"/>
        <w:rPr>
          <w:rFonts w:ascii="Times New Roman" w:eastAsia="Times New Roman" w:hAnsi="Times New Roman"/>
          <w:color w:val="000000" w:themeColor="text1"/>
        </w:rPr>
      </w:pPr>
    </w:p>
    <w:p w14:paraId="692C494C" w14:textId="27A41D32" w:rsidR="001D31C9" w:rsidRDefault="001D31C9" w:rsidP="00B34B59">
      <w:pPr>
        <w:pStyle w:val="Heading3"/>
        <w:spacing w:after="0" w:line="360" w:lineRule="auto"/>
        <w:rPr>
          <w:rFonts w:ascii="Times New Roman" w:eastAsia="Times New Roman" w:hAnsi="Times New Roman"/>
          <w:color w:val="000000" w:themeColor="text1"/>
        </w:rPr>
      </w:pPr>
    </w:p>
    <w:p w14:paraId="60BE76D5" w14:textId="40273910" w:rsidR="00004CD5" w:rsidRPr="00004CD5" w:rsidRDefault="00E32DA1" w:rsidP="00E32DA1">
      <w:pPr>
        <w:pStyle w:val="Heading3"/>
        <w:spacing w:after="0" w:line="360" w:lineRule="auto"/>
        <w:rPr>
          <w:rFonts w:ascii="Times New Roman" w:hAnsi="Times New Roman" w:cs="Times New Roman"/>
          <w:color w:val="000000" w:themeColor="text1"/>
        </w:rPr>
      </w:pPr>
      <w:r>
        <w:rPr>
          <w:rFonts w:ascii="Times New Roman" w:hAnsi="Times New Roman" w:cs="Times New Roman"/>
          <w:color w:val="000000" w:themeColor="text1"/>
        </w:rPr>
        <w:t xml:space="preserve">                  F</w:t>
      </w:r>
      <w:r w:rsidR="00004CD5" w:rsidRPr="00004CD5">
        <w:rPr>
          <w:rFonts w:ascii="Times New Roman" w:hAnsi="Times New Roman" w:cs="Times New Roman"/>
          <w:color w:val="000000" w:themeColor="text1"/>
        </w:rPr>
        <w:t xml:space="preserve">igura 3. </w:t>
      </w:r>
      <w:r w:rsidR="00004CD5" w:rsidRPr="00004CD5">
        <w:rPr>
          <w:rFonts w:ascii="Times New Roman" w:hAnsi="Times New Roman" w:cs="Times New Roman"/>
          <w:b w:val="0"/>
          <w:bCs w:val="0"/>
          <w:i/>
          <w:iCs/>
          <w:color w:val="000000" w:themeColor="text1"/>
        </w:rPr>
        <w:t xml:space="preserve"> </w:t>
      </w:r>
      <w:r>
        <w:rPr>
          <w:rFonts w:ascii="Times New Roman" w:hAnsi="Times New Roman" w:cs="Times New Roman"/>
          <w:b w:val="0"/>
          <w:bCs w:val="0"/>
          <w:i/>
          <w:iCs/>
          <w:color w:val="000000" w:themeColor="text1"/>
        </w:rPr>
        <w:t>Componenta de f</w:t>
      </w:r>
      <w:r w:rsidR="00004CD5" w:rsidRPr="00004CD5">
        <w:rPr>
          <w:rFonts w:ascii="Times New Roman" w:hAnsi="Times New Roman" w:cs="Times New Roman"/>
          <w:b w:val="0"/>
          <w:bCs w:val="0"/>
          <w:i/>
          <w:iCs/>
          <w:color w:val="000000" w:themeColor="text1"/>
        </w:rPr>
        <w:t>eedback formativ</w:t>
      </w:r>
    </w:p>
    <w:p w14:paraId="23EBFF76" w14:textId="62F67ABE" w:rsidR="001D31C9" w:rsidRDefault="00E32DA1" w:rsidP="00B34B59">
      <w:pPr>
        <w:pStyle w:val="Heading3"/>
        <w:spacing w:after="0" w:line="360" w:lineRule="auto"/>
        <w:rPr>
          <w:rFonts w:ascii="Times New Roman" w:eastAsia="Times New Roman" w:hAnsi="Times New Roman"/>
          <w:color w:val="000000" w:themeColor="text1"/>
        </w:rPr>
      </w:pPr>
      <w:r w:rsidRPr="00712A7D">
        <w:rPr>
          <w:rFonts w:ascii="Calibri" w:eastAsia="Calibri" w:hAnsi="Calibri" w:cs="Times New Roman"/>
          <w:noProof/>
        </w:rPr>
        <w:drawing>
          <wp:anchor distT="114300" distB="114300" distL="114300" distR="114300" simplePos="0" relativeHeight="251662336" behindDoc="1" locked="0" layoutInCell="1" allowOverlap="1" wp14:anchorId="1924B83A" wp14:editId="2C47B12E">
            <wp:simplePos x="0" y="0"/>
            <wp:positionH relativeFrom="column">
              <wp:posOffset>692785</wp:posOffset>
            </wp:positionH>
            <wp:positionV relativeFrom="paragraph">
              <wp:posOffset>133985</wp:posOffset>
            </wp:positionV>
            <wp:extent cx="4584608" cy="2426970"/>
            <wp:effectExtent l="0" t="0" r="6985" b="0"/>
            <wp:wrapNone/>
            <wp:docPr id="30"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84608" cy="2426970"/>
                    </a:xfrm>
                    <a:prstGeom prst="rect">
                      <a:avLst/>
                    </a:prstGeom>
                    <a:noFill/>
                  </pic:spPr>
                </pic:pic>
              </a:graphicData>
            </a:graphic>
            <wp14:sizeRelH relativeFrom="page">
              <wp14:pctWidth>0</wp14:pctWidth>
            </wp14:sizeRelH>
            <wp14:sizeRelV relativeFrom="page">
              <wp14:pctHeight>0</wp14:pctHeight>
            </wp14:sizeRelV>
          </wp:anchor>
        </w:drawing>
      </w:r>
    </w:p>
    <w:p w14:paraId="36178896" w14:textId="709CAFF8" w:rsidR="00E32DA1" w:rsidRDefault="00E32DA1" w:rsidP="00B34B59">
      <w:pPr>
        <w:pStyle w:val="Heading3"/>
        <w:spacing w:after="0" w:line="360" w:lineRule="auto"/>
        <w:rPr>
          <w:rFonts w:ascii="Times New Roman" w:eastAsia="Times New Roman" w:hAnsi="Times New Roman"/>
          <w:color w:val="000000" w:themeColor="text1"/>
        </w:rPr>
      </w:pPr>
    </w:p>
    <w:p w14:paraId="05237C3C" w14:textId="77777777" w:rsidR="00E32DA1" w:rsidRDefault="00E32DA1" w:rsidP="00B34B59">
      <w:pPr>
        <w:pStyle w:val="Heading3"/>
        <w:spacing w:after="0" w:line="360" w:lineRule="auto"/>
        <w:rPr>
          <w:rFonts w:ascii="Times New Roman" w:eastAsia="Times New Roman" w:hAnsi="Times New Roman"/>
          <w:color w:val="000000" w:themeColor="text1"/>
        </w:rPr>
      </w:pPr>
    </w:p>
    <w:p w14:paraId="6BDD3E9F" w14:textId="77777777" w:rsidR="00E32DA1" w:rsidRDefault="00E32DA1" w:rsidP="00B34B59">
      <w:pPr>
        <w:pStyle w:val="Heading3"/>
        <w:spacing w:after="0" w:line="360" w:lineRule="auto"/>
        <w:rPr>
          <w:rFonts w:ascii="Times New Roman" w:eastAsia="Times New Roman" w:hAnsi="Times New Roman"/>
          <w:color w:val="000000" w:themeColor="text1"/>
        </w:rPr>
      </w:pPr>
    </w:p>
    <w:p w14:paraId="1C993E84" w14:textId="77777777" w:rsidR="00E32DA1" w:rsidRDefault="00E32DA1" w:rsidP="00B34B59">
      <w:pPr>
        <w:pStyle w:val="Heading3"/>
        <w:spacing w:after="0" w:line="360" w:lineRule="auto"/>
        <w:rPr>
          <w:rFonts w:ascii="Times New Roman" w:eastAsia="Times New Roman" w:hAnsi="Times New Roman"/>
          <w:color w:val="000000" w:themeColor="text1"/>
        </w:rPr>
      </w:pPr>
    </w:p>
    <w:p w14:paraId="256F63CB" w14:textId="77777777" w:rsidR="00E32DA1" w:rsidRDefault="00E32DA1" w:rsidP="00B34B59">
      <w:pPr>
        <w:pStyle w:val="Heading3"/>
        <w:spacing w:after="0" w:line="360" w:lineRule="auto"/>
        <w:rPr>
          <w:rFonts w:ascii="Times New Roman" w:eastAsia="Times New Roman" w:hAnsi="Times New Roman"/>
          <w:color w:val="000000" w:themeColor="text1"/>
        </w:rPr>
      </w:pPr>
    </w:p>
    <w:p w14:paraId="01C077AB" w14:textId="3B0AB931" w:rsidR="00762E5F" w:rsidRPr="00997EE8" w:rsidRDefault="00E32DA1" w:rsidP="00B34B59">
      <w:pPr>
        <w:pStyle w:val="Heading3"/>
        <w:spacing w:after="0" w:line="360" w:lineRule="auto"/>
        <w:rPr>
          <w:color w:val="000000" w:themeColor="text1"/>
        </w:rPr>
      </w:pPr>
      <w:r>
        <w:rPr>
          <w:rFonts w:ascii="Times New Roman" w:eastAsia="Times New Roman" w:hAnsi="Times New Roman"/>
          <w:color w:val="000000" w:themeColor="text1"/>
        </w:rPr>
        <w:t>3</w:t>
      </w:r>
      <w:r w:rsidRPr="00997EE8">
        <w:rPr>
          <w:rFonts w:ascii="Times New Roman" w:eastAsia="Times New Roman" w:hAnsi="Times New Roman"/>
          <w:color w:val="000000" w:themeColor="text1"/>
        </w:rPr>
        <w:t>.2.2. Metod</w:t>
      </w:r>
      <w:r w:rsidR="0036490A">
        <w:rPr>
          <w:rFonts w:ascii="Times New Roman" w:eastAsia="Times New Roman" w:hAnsi="Times New Roman"/>
          <w:color w:val="000000" w:themeColor="text1"/>
        </w:rPr>
        <w:t>ologie</w:t>
      </w:r>
    </w:p>
    <w:p w14:paraId="4FBB8335" w14:textId="77777777" w:rsidR="00762E5F" w:rsidRDefault="00997EE8" w:rsidP="00B34B59">
      <w:pPr>
        <w:spacing w:after="0" w:line="360" w:lineRule="auto"/>
        <w:jc w:val="both"/>
      </w:pPr>
      <w:r>
        <w:tab/>
        <w:t>Studiul a utilizat un design pretest-posttest cu un singur grup. Eșantionul a inclus 55 de participanți, studenți la nivel licență sau master în psihologie și un număr mic de terapeuți aflați la început de practică supervizată. Criteriile de includere au vizat vârsta minimă de 18 ani și statutul de student la psihologie sau persoană aflată în practică supervizată. Criteriile de excludere au inclus epilepsie, fotosensibilitate, tulburări mentale severe sau disconfort semnificativ în timpul sarcinilor VR.</w:t>
      </w:r>
    </w:p>
    <w:p w14:paraId="67A568E9" w14:textId="3280B531" w:rsidR="00762E5F" w:rsidRDefault="00997EE8" w:rsidP="00B34B59">
      <w:pPr>
        <w:spacing w:after="0" w:line="360" w:lineRule="auto"/>
        <w:jc w:val="both"/>
      </w:pPr>
      <w:r>
        <w:tab/>
        <w:t xml:space="preserve">Procedura a avut loc într-un laborator de cercetare. Participanții au parcurs o scurtă familiarizare cu aplicația și au vizionat un clip introductiv în care clientul virtual prezenta motivul venirii la psihoterapie. După această introducere, participanții au completat măsurătorile de bază: </w:t>
      </w:r>
      <w:r>
        <w:rPr>
          <w:i/>
          <w:iCs/>
        </w:rPr>
        <w:t>Simulator Sickness Questionnaire</w:t>
      </w:r>
      <w:r w:rsidR="00204871">
        <w:rPr>
          <w:i/>
          <w:iCs/>
        </w:rPr>
        <w:t xml:space="preserve"> </w:t>
      </w:r>
      <w:r w:rsidR="00204871">
        <w:t>(Kennedy et al., 1993)</w:t>
      </w:r>
      <w:r>
        <w:rPr>
          <w:i/>
          <w:iCs/>
        </w:rPr>
        <w:t xml:space="preserve"> </w:t>
      </w:r>
      <w:r w:rsidRPr="00D13D7D">
        <w:rPr>
          <w:i/>
          <w:iCs/>
        </w:rPr>
        <w:t>și</w:t>
      </w:r>
      <w:r>
        <w:rPr>
          <w:i/>
          <w:iCs/>
        </w:rPr>
        <w:t xml:space="preserve"> State Empathy Scale</w:t>
      </w:r>
      <w:r w:rsidR="00204871">
        <w:rPr>
          <w:i/>
          <w:iCs/>
        </w:rPr>
        <w:t xml:space="preserve"> </w:t>
      </w:r>
      <w:r w:rsidR="00204871">
        <w:t>(Shen, 2010).</w:t>
      </w:r>
      <w:r>
        <w:t xml:space="preserve">. Ulterior, ei au parcurs sarcina experimentală în VR, respectiv o ședință simulată de psihoterapie cu clientul virtual. La final, au primit feedback sumativ și formativ, apoi au completat măsurătorile post-intervenție: </w:t>
      </w:r>
      <w:r>
        <w:rPr>
          <w:i/>
        </w:rPr>
        <w:t>SSQ</w:t>
      </w:r>
      <w:r>
        <w:t xml:space="preserve">, </w:t>
      </w:r>
      <w:r>
        <w:rPr>
          <w:i/>
        </w:rPr>
        <w:t>SES</w:t>
      </w:r>
      <w:r>
        <w:t xml:space="preserve">, </w:t>
      </w:r>
      <w:r>
        <w:rPr>
          <w:i/>
        </w:rPr>
        <w:t>NASA-TLX</w:t>
      </w:r>
      <w:r>
        <w:t xml:space="preserve"> și </w:t>
      </w:r>
      <w:r>
        <w:rPr>
          <w:i/>
        </w:rPr>
        <w:t>SUS</w:t>
      </w:r>
      <w:r>
        <w:t>.</w:t>
      </w:r>
    </w:p>
    <w:p w14:paraId="4FB6AFA0" w14:textId="77777777" w:rsidR="00762E5F" w:rsidRDefault="00D13D7D" w:rsidP="00B34B59">
      <w:pPr>
        <w:spacing w:after="0" w:line="360" w:lineRule="auto"/>
        <w:jc w:val="both"/>
      </w:pPr>
      <w:r>
        <w:tab/>
        <w:t>Aplicația a fost utilizată printr-un headset Meta Quest 2 (Meta Platforms, Inc., 2020). Mediul virtual a fost construit ca o simulare minimalistă a unei ședințe individuale de terapie. Clientul prezenta simptomatologie ușoară, incluzând dispoziție depresivă și dificultăți relaționale. Scenariul a fost implementat ca narațiune ramificată cu 16 noduri decizionale, dintre care 9 orientate spre empatie și 7 orientate spre dezvoltarea alianței terapeutice. La fiecare nod, utilizatorul alegea răspunsul considerat cel mai potrivit.</w:t>
      </w:r>
    </w:p>
    <w:p w14:paraId="2E7C6611" w14:textId="77777777" w:rsidR="00762E5F" w:rsidRDefault="00D13D7D" w:rsidP="00B34B59">
      <w:pPr>
        <w:spacing w:after="0" w:line="360" w:lineRule="auto"/>
        <w:jc w:val="both"/>
      </w:pPr>
      <w:r>
        <w:tab/>
        <w:t>Validarea de conținut a fost realizată de experți. Într-o primă etapă, doi psihologi experți au consultat elementele principale ale relației terapeutice potrivite pentru includerea în aplicație. Ulterior, cinci experți au evaluat conținutul textual al aplicației, inclusiv discursul clientului virtual și opțiunile de răspuns ale psihoterapeutului. Evaluarea a vizat atât relevanța pentru empatie și alianță terapeutică, cât și claritatea, realismul și potențialul pedagogic al scenariului.</w:t>
      </w:r>
    </w:p>
    <w:p w14:paraId="756464F4" w14:textId="41A4EFF7" w:rsidR="00762E5F" w:rsidRDefault="0036490A" w:rsidP="00B34B59">
      <w:pPr>
        <w:spacing w:after="0" w:line="360" w:lineRule="auto"/>
        <w:jc w:val="both"/>
      </w:pPr>
      <w:r>
        <w:tab/>
      </w:r>
      <w:r w:rsidR="00B56470" w:rsidRPr="00B56470">
        <w:t xml:space="preserve">Instrumentele utilizate au inclus </w:t>
      </w:r>
      <w:r w:rsidR="00B56470" w:rsidRPr="00B56470">
        <w:rPr>
          <w:i/>
          <w:iCs/>
        </w:rPr>
        <w:t>SSQ</w:t>
      </w:r>
      <w:r w:rsidR="00B56470" w:rsidRPr="00B56470">
        <w:t xml:space="preserve"> pentru răul de simulator (Kennedy et al., 1993), </w:t>
      </w:r>
      <w:r w:rsidR="00B56470" w:rsidRPr="00B56470">
        <w:rPr>
          <w:i/>
          <w:iCs/>
        </w:rPr>
        <w:t>SUS</w:t>
      </w:r>
      <w:r w:rsidR="00B56470" w:rsidRPr="00B56470">
        <w:t xml:space="preserve"> pentru utilizabilitate (Brooke, 1996), </w:t>
      </w:r>
      <w:r w:rsidR="00B56470" w:rsidRPr="00B56470">
        <w:rPr>
          <w:i/>
          <w:iCs/>
        </w:rPr>
        <w:t>NASA-TLX</w:t>
      </w:r>
      <w:r w:rsidR="00B56470" w:rsidRPr="00B56470">
        <w:t xml:space="preserve"> pentru încărcarea cognitivă (Hart &amp; Staveland, 1988) și </w:t>
      </w:r>
      <w:r w:rsidR="00B56470" w:rsidRPr="00B56470">
        <w:rPr>
          <w:i/>
          <w:iCs/>
        </w:rPr>
        <w:t>State Empathy Scale</w:t>
      </w:r>
      <w:r w:rsidR="00B56470" w:rsidRPr="00B56470">
        <w:t xml:space="preserve"> pentru empatia ca stare (Shen, 2010). Analizele statistice au fost realizate în SPSS</w:t>
      </w:r>
      <w:r w:rsidR="00B56470">
        <w:t xml:space="preserve">. </w:t>
      </w:r>
      <w:r>
        <w:t>Fezabilitatea și utilizabilitatea au fost analizate descriptiv, iar schimbările pre-post ale empatiei și ale răului de simulator au fost examinate prin teste t pentru eșantioane perechi. Acordul între experți a fost evaluat cu coeficientul Kendall W.</w:t>
      </w:r>
    </w:p>
    <w:p w14:paraId="2781C91F" w14:textId="77777777" w:rsidR="00762E5F" w:rsidRPr="00D13D7D" w:rsidRDefault="00000000" w:rsidP="00B34B59">
      <w:pPr>
        <w:pStyle w:val="Heading3"/>
        <w:spacing w:after="0" w:line="360" w:lineRule="auto"/>
        <w:rPr>
          <w:color w:val="000000" w:themeColor="text1"/>
        </w:rPr>
      </w:pPr>
      <w:r w:rsidRPr="00D13D7D">
        <w:rPr>
          <w:rFonts w:ascii="Times New Roman" w:eastAsia="Times New Roman" w:hAnsi="Times New Roman"/>
          <w:color w:val="000000" w:themeColor="text1"/>
        </w:rPr>
        <w:t>3.2.3. Rezultate</w:t>
      </w:r>
    </w:p>
    <w:p w14:paraId="390D7411" w14:textId="6F96A793" w:rsidR="00762E5F" w:rsidRDefault="00D13D7D" w:rsidP="00B34B59">
      <w:pPr>
        <w:spacing w:after="0" w:line="360" w:lineRule="auto"/>
        <w:jc w:val="both"/>
      </w:pPr>
      <w:r>
        <w:tab/>
        <w:t xml:space="preserve">Rezultatele privind </w:t>
      </w:r>
      <w:r w:rsidR="00DD6165">
        <w:rPr>
          <w:lang w:val="ro-RO"/>
        </w:rPr>
        <w:t>răul de simulator</w:t>
      </w:r>
      <w:r>
        <w:t xml:space="preserve"> au indicat doar creșteri ușoare între pretest și posttest, fără diferențe semnificative statistic. </w:t>
      </w:r>
      <w:r w:rsidR="00DD6165">
        <w:t>Scorurile la subscalele chestionarului (starea de rău</w:t>
      </w:r>
      <w:r>
        <w:t>, tulburările oculomotorii, dezorientarea</w:t>
      </w:r>
      <w:r w:rsidR="00DD6165">
        <w:t>)</w:t>
      </w:r>
      <w:r>
        <w:t xml:space="preserve"> și scorul total </w:t>
      </w:r>
      <w:r>
        <w:rPr>
          <w:i/>
        </w:rPr>
        <w:t>SSQ</w:t>
      </w:r>
      <w:r>
        <w:t xml:space="preserve"> nu s-a</w:t>
      </w:r>
      <w:r w:rsidR="00B56470">
        <w:t>u</w:t>
      </w:r>
      <w:r>
        <w:t xml:space="preserve"> modificat semnificativ</w:t>
      </w:r>
      <w:r w:rsidR="00204871">
        <w:t xml:space="preserve"> </w:t>
      </w:r>
      <w:r>
        <w:t xml:space="preserve">(Tabelul 3). Acest rezultat sugerează că expunerea la aplicația </w:t>
      </w:r>
      <w:r>
        <w:rPr>
          <w:i/>
        </w:rPr>
        <w:t>Future Psychotherapists</w:t>
      </w:r>
      <w:r>
        <w:t xml:space="preserve"> nu a produs un disconfort semnificativ și că aplicația poate fi utilizată într-o sesiune de training fără interferențe importante ale simptomelor </w:t>
      </w:r>
      <w:r w:rsidR="00DD6165">
        <w:t>răului de simulator (VR)</w:t>
      </w:r>
      <w:r>
        <w:t>.</w:t>
      </w:r>
    </w:p>
    <w:p w14:paraId="542A86CB" w14:textId="44F538F7" w:rsidR="00762E5F" w:rsidRDefault="00DD6165" w:rsidP="00B34B59">
      <w:pPr>
        <w:spacing w:after="0" w:line="360" w:lineRule="auto"/>
        <w:jc w:val="both"/>
      </w:pPr>
      <w:r>
        <w:tab/>
        <w:t xml:space="preserve">Utilizabilitatea a fost evaluată foarte favorabil. Scorul mediu la </w:t>
      </w:r>
      <w:r>
        <w:rPr>
          <w:i/>
        </w:rPr>
        <w:t>System Usability Scale</w:t>
      </w:r>
      <w:r w:rsidR="00204871">
        <w:rPr>
          <w:i/>
        </w:rPr>
        <w:t xml:space="preserve"> </w:t>
      </w:r>
      <w:r w:rsidR="00204871">
        <w:t>(Brooke, 1996)</w:t>
      </w:r>
      <w:r>
        <w:t xml:space="preserve"> a fost M = 85,09, SD = 9,54, peste pragul uzual de 68, ceea ce indică o aplicație percepută ca fiind bine proiectată și ușor de utilizat. Încărcarea cognitivă raportată prin </w:t>
      </w:r>
      <w:r>
        <w:rPr>
          <w:i/>
        </w:rPr>
        <w:t>NASA-TLX</w:t>
      </w:r>
      <w:r>
        <w:t xml:space="preserve"> </w:t>
      </w:r>
      <w:r w:rsidR="00204871">
        <w:t xml:space="preserve">(Hart &amp; Staveland, 1988) </w:t>
      </w:r>
      <w:r>
        <w:t>a fost scăzută spre moderată, M = 32,50, SD = 17,13, sugerând că sarcina nu a depășit resursele cognitive ale participanților și a rămas compatibilă cu învățarea.</w:t>
      </w:r>
    </w:p>
    <w:p w14:paraId="7E81F2AF" w14:textId="77777777" w:rsidR="00762E5F" w:rsidRDefault="00DD6165" w:rsidP="00B34B59">
      <w:pPr>
        <w:spacing w:after="0" w:line="360" w:lineRule="auto"/>
        <w:jc w:val="both"/>
      </w:pPr>
      <w:r>
        <w:tab/>
        <w:t>Evaluarea experților a susținut validitatea de conținut a aplicației. Conținutul orientat spre empatie a primit un scor mediu de M = 4,40, SD = 0,30, iar conținutul orientat spre alianță terapeutică, la fel, un scor mediu de M = 4,00, SD = 0,17, pe o scală de la 1 la 5. Calitatea globală a conținutului a primit cel mai ridicat scor, M = 4,76, SD = 0,33. Acordul între evaluatori a fost foarte ridicat, Kendall W = .96, chi-pătrat(2) = 9,58, p = .008.</w:t>
      </w:r>
    </w:p>
    <w:p w14:paraId="2D39D26B" w14:textId="77777777" w:rsidR="00204871" w:rsidRDefault="00DD6165" w:rsidP="00B34B59">
      <w:pPr>
        <w:spacing w:after="0" w:line="360" w:lineRule="auto"/>
        <w:jc w:val="both"/>
      </w:pPr>
      <w:r>
        <w:tab/>
        <w:t xml:space="preserve">În ceea ce privește obiectivul explorator, scorurile de empatie au crescut semnificativ de la pretest la posttest pentru toate cele trei dimensiuni ale </w:t>
      </w:r>
      <w:r>
        <w:rPr>
          <w:i/>
        </w:rPr>
        <w:t>State Empathy Scale</w:t>
      </w:r>
      <w:r w:rsidR="00204871">
        <w:rPr>
          <w:i/>
        </w:rPr>
        <w:t xml:space="preserve"> </w:t>
      </w:r>
      <w:r w:rsidR="00204871">
        <w:t>(Shen, 2010)</w:t>
      </w:r>
      <w:r>
        <w:t xml:space="preserve"> </w:t>
      </w:r>
    </w:p>
    <w:p w14:paraId="5A4814B7" w14:textId="70573329" w:rsidR="00762E5F" w:rsidRDefault="00DD6165" w:rsidP="00B34B59">
      <w:pPr>
        <w:spacing w:after="0" w:line="360" w:lineRule="auto"/>
        <w:jc w:val="both"/>
      </w:pPr>
      <w:r>
        <w:t xml:space="preserve">(Tabelul 3). Aceste rezultate sugerează că o singură sesiune VR poate facilita un răspuns empatic </w:t>
      </w:r>
      <w:r w:rsidR="0030402D">
        <w:t>ca</w:t>
      </w:r>
      <w:r>
        <w:t xml:space="preserve"> stare, deși designul fără grup de control impune precauție în interpretarea cauzală.</w:t>
      </w:r>
    </w:p>
    <w:p w14:paraId="6725F4EB" w14:textId="77777777" w:rsidR="00204871" w:rsidRDefault="00204871" w:rsidP="00B34B59">
      <w:pPr>
        <w:spacing w:after="0" w:line="360" w:lineRule="auto"/>
        <w:jc w:val="both"/>
      </w:pPr>
    </w:p>
    <w:p w14:paraId="1A4F951D" w14:textId="5100B15E" w:rsidR="002910A1" w:rsidRDefault="00204871" w:rsidP="00B34B59">
      <w:pPr>
        <w:spacing w:after="0" w:line="360" w:lineRule="auto"/>
        <w:jc w:val="both"/>
        <w:rPr>
          <w:i/>
          <w:iCs/>
        </w:rPr>
      </w:pPr>
      <w:r>
        <w:rPr>
          <w:b/>
          <w:bCs/>
        </w:rPr>
        <w:tab/>
      </w:r>
      <w:r w:rsidR="002910A1" w:rsidRPr="00204871">
        <w:rPr>
          <w:b/>
          <w:bCs/>
        </w:rPr>
        <w:t>Tabel 3</w:t>
      </w:r>
      <w:r w:rsidR="002910A1">
        <w:t xml:space="preserve">. </w:t>
      </w:r>
      <w:r w:rsidR="002910A1" w:rsidRPr="00204871">
        <w:rPr>
          <w:i/>
          <w:iCs/>
        </w:rPr>
        <w:t>Diferențele de la T1 la T2 pentru SSQ și empatie</w:t>
      </w:r>
      <w:r>
        <w:rPr>
          <w:i/>
          <w:iCs/>
        </w:rPr>
        <w:t xml:space="preserve"> ca star</w:t>
      </w:r>
      <w:r w:rsidR="006F6F24">
        <w:rPr>
          <w:i/>
          <w:iCs/>
        </w:rPr>
        <w:t>e</w:t>
      </w:r>
    </w:p>
    <w:p w14:paraId="661081D5" w14:textId="77777777" w:rsidR="00204871" w:rsidRPr="002910A1" w:rsidRDefault="00204871" w:rsidP="00B34B59">
      <w:pPr>
        <w:spacing w:after="0" w:line="360" w:lineRule="auto"/>
        <w:jc w:val="both"/>
        <w:rPr>
          <w:i/>
          <w:iCs/>
        </w:rPr>
      </w:pPr>
    </w:p>
    <w:tbl>
      <w:tblPr>
        <w:tblStyle w:val="TableGrid"/>
        <w:tblW w:w="0" w:type="auto"/>
        <w:jc w:val="center"/>
        <w:tblLook w:val="04A0" w:firstRow="1" w:lastRow="0" w:firstColumn="1" w:lastColumn="0" w:noHBand="0" w:noVBand="1"/>
      </w:tblPr>
      <w:tblGrid>
        <w:gridCol w:w="2344"/>
        <w:gridCol w:w="2336"/>
        <w:gridCol w:w="2323"/>
        <w:gridCol w:w="2393"/>
      </w:tblGrid>
      <w:tr w:rsidR="00762E5F" w14:paraId="201B4757" w14:textId="77777777">
        <w:trPr>
          <w:cantSplit/>
          <w:jc w:val="center"/>
        </w:trPr>
        <w:tc>
          <w:tcPr>
            <w:tcW w:w="2484" w:type="dxa"/>
            <w:vAlign w:val="center"/>
          </w:tcPr>
          <w:p w14:paraId="7A182AD6" w14:textId="77777777" w:rsidR="00762E5F" w:rsidRDefault="00000000" w:rsidP="00B34B59">
            <w:pPr>
              <w:spacing w:after="0" w:line="360" w:lineRule="auto"/>
              <w:jc w:val="center"/>
            </w:pPr>
            <w:r>
              <w:rPr>
                <w:b/>
                <w:sz w:val="20"/>
              </w:rPr>
              <w:t>Variabilă</w:t>
            </w:r>
          </w:p>
        </w:tc>
        <w:tc>
          <w:tcPr>
            <w:tcW w:w="2484" w:type="dxa"/>
            <w:vAlign w:val="center"/>
          </w:tcPr>
          <w:p w14:paraId="0C304184" w14:textId="77777777" w:rsidR="00762E5F" w:rsidRDefault="00000000" w:rsidP="00B34B59">
            <w:pPr>
              <w:spacing w:after="0" w:line="360" w:lineRule="auto"/>
              <w:jc w:val="center"/>
            </w:pPr>
            <w:r>
              <w:rPr>
                <w:b/>
                <w:sz w:val="20"/>
              </w:rPr>
              <w:t>Moment</w:t>
            </w:r>
          </w:p>
        </w:tc>
        <w:tc>
          <w:tcPr>
            <w:tcW w:w="2484" w:type="dxa"/>
            <w:vAlign w:val="center"/>
          </w:tcPr>
          <w:p w14:paraId="324E1C7A" w14:textId="77777777" w:rsidR="00762E5F" w:rsidRDefault="00000000" w:rsidP="00B34B59">
            <w:pPr>
              <w:spacing w:after="0" w:line="360" w:lineRule="auto"/>
              <w:jc w:val="center"/>
            </w:pPr>
            <w:r>
              <w:rPr>
                <w:b/>
                <w:sz w:val="20"/>
              </w:rPr>
              <w:t>M (SD)</w:t>
            </w:r>
          </w:p>
        </w:tc>
        <w:tc>
          <w:tcPr>
            <w:tcW w:w="2484" w:type="dxa"/>
            <w:vAlign w:val="center"/>
          </w:tcPr>
          <w:p w14:paraId="79A73EA5" w14:textId="77777777" w:rsidR="00762E5F" w:rsidRDefault="00000000" w:rsidP="00B34B59">
            <w:pPr>
              <w:spacing w:after="0" w:line="360" w:lineRule="auto"/>
              <w:jc w:val="center"/>
            </w:pPr>
            <w:r>
              <w:rPr>
                <w:b/>
                <w:sz w:val="20"/>
              </w:rPr>
              <w:t>Test / interpretare</w:t>
            </w:r>
          </w:p>
        </w:tc>
      </w:tr>
      <w:tr w:rsidR="00762E5F" w14:paraId="44D171A5" w14:textId="77777777">
        <w:trPr>
          <w:cantSplit/>
          <w:jc w:val="center"/>
        </w:trPr>
        <w:tc>
          <w:tcPr>
            <w:tcW w:w="2484" w:type="dxa"/>
            <w:vAlign w:val="center"/>
          </w:tcPr>
          <w:p w14:paraId="518C90C6" w14:textId="77777777" w:rsidR="00762E5F" w:rsidRDefault="00000000" w:rsidP="00B34B59">
            <w:pPr>
              <w:spacing w:after="0" w:line="360" w:lineRule="auto"/>
            </w:pPr>
            <w:r>
              <w:rPr>
                <w:i/>
                <w:sz w:val="20"/>
              </w:rPr>
              <w:t>SSQ</w:t>
            </w:r>
            <w:r>
              <w:rPr>
                <w:sz w:val="20"/>
              </w:rPr>
              <w:t xml:space="preserve"> total</w:t>
            </w:r>
          </w:p>
        </w:tc>
        <w:tc>
          <w:tcPr>
            <w:tcW w:w="2484" w:type="dxa"/>
            <w:vAlign w:val="center"/>
          </w:tcPr>
          <w:p w14:paraId="189AD04D" w14:textId="77777777" w:rsidR="00762E5F" w:rsidRDefault="00000000" w:rsidP="00B34B59">
            <w:pPr>
              <w:spacing w:after="0" w:line="360" w:lineRule="auto"/>
              <w:jc w:val="center"/>
            </w:pPr>
            <w:r>
              <w:rPr>
                <w:sz w:val="20"/>
              </w:rPr>
              <w:t>T1</w:t>
            </w:r>
          </w:p>
        </w:tc>
        <w:tc>
          <w:tcPr>
            <w:tcW w:w="2484" w:type="dxa"/>
            <w:vAlign w:val="center"/>
          </w:tcPr>
          <w:p w14:paraId="0635E1AF" w14:textId="77777777" w:rsidR="00762E5F" w:rsidRDefault="00000000" w:rsidP="00B34B59">
            <w:pPr>
              <w:spacing w:after="0" w:line="360" w:lineRule="auto"/>
              <w:jc w:val="center"/>
            </w:pPr>
            <w:r>
              <w:rPr>
                <w:sz w:val="20"/>
              </w:rPr>
              <w:t>16,86 (23,23)</w:t>
            </w:r>
          </w:p>
        </w:tc>
        <w:tc>
          <w:tcPr>
            <w:tcW w:w="2484" w:type="dxa"/>
            <w:vAlign w:val="center"/>
          </w:tcPr>
          <w:p w14:paraId="5C1FA388" w14:textId="77777777" w:rsidR="00762E5F" w:rsidRDefault="00000000" w:rsidP="00B34B59">
            <w:pPr>
              <w:spacing w:after="0" w:line="360" w:lineRule="auto"/>
              <w:jc w:val="center"/>
            </w:pPr>
            <w:r>
              <w:rPr>
                <w:sz w:val="20"/>
              </w:rPr>
              <w:t>nivel inițial</w:t>
            </w:r>
          </w:p>
        </w:tc>
      </w:tr>
      <w:tr w:rsidR="00762E5F" w14:paraId="45C8E614" w14:textId="77777777">
        <w:trPr>
          <w:cantSplit/>
          <w:jc w:val="center"/>
        </w:trPr>
        <w:tc>
          <w:tcPr>
            <w:tcW w:w="2484" w:type="dxa"/>
            <w:vAlign w:val="center"/>
          </w:tcPr>
          <w:p w14:paraId="3201AD98" w14:textId="77777777" w:rsidR="00762E5F" w:rsidRDefault="00000000" w:rsidP="00B34B59">
            <w:pPr>
              <w:spacing w:after="0" w:line="360" w:lineRule="auto"/>
            </w:pPr>
            <w:r>
              <w:rPr>
                <w:i/>
                <w:sz w:val="20"/>
              </w:rPr>
              <w:t>SSQ</w:t>
            </w:r>
            <w:r>
              <w:rPr>
                <w:sz w:val="20"/>
              </w:rPr>
              <w:t xml:space="preserve"> total</w:t>
            </w:r>
          </w:p>
        </w:tc>
        <w:tc>
          <w:tcPr>
            <w:tcW w:w="2484" w:type="dxa"/>
            <w:vAlign w:val="center"/>
          </w:tcPr>
          <w:p w14:paraId="056D7438" w14:textId="77777777" w:rsidR="00762E5F" w:rsidRDefault="00000000" w:rsidP="00B34B59">
            <w:pPr>
              <w:spacing w:after="0" w:line="360" w:lineRule="auto"/>
              <w:jc w:val="center"/>
            </w:pPr>
            <w:r>
              <w:rPr>
                <w:sz w:val="20"/>
              </w:rPr>
              <w:t>T2</w:t>
            </w:r>
          </w:p>
        </w:tc>
        <w:tc>
          <w:tcPr>
            <w:tcW w:w="2484" w:type="dxa"/>
            <w:vAlign w:val="center"/>
          </w:tcPr>
          <w:p w14:paraId="53102D35" w14:textId="77777777" w:rsidR="00762E5F" w:rsidRDefault="00000000" w:rsidP="00B34B59">
            <w:pPr>
              <w:spacing w:after="0" w:line="360" w:lineRule="auto"/>
              <w:jc w:val="center"/>
            </w:pPr>
            <w:r>
              <w:rPr>
                <w:sz w:val="20"/>
              </w:rPr>
              <w:t>21,49 (34,17)</w:t>
            </w:r>
          </w:p>
        </w:tc>
        <w:tc>
          <w:tcPr>
            <w:tcW w:w="2484" w:type="dxa"/>
            <w:vAlign w:val="center"/>
          </w:tcPr>
          <w:p w14:paraId="2EA3322E" w14:textId="77777777" w:rsidR="00762E5F" w:rsidRDefault="00000000" w:rsidP="00B34B59">
            <w:pPr>
              <w:spacing w:after="0" w:line="360" w:lineRule="auto"/>
              <w:jc w:val="center"/>
            </w:pPr>
            <w:r>
              <w:rPr>
                <w:sz w:val="20"/>
              </w:rPr>
              <w:t>diferență nesemnificativă, p = .334</w:t>
            </w:r>
          </w:p>
        </w:tc>
      </w:tr>
      <w:tr w:rsidR="00762E5F" w14:paraId="0ACD0B80" w14:textId="77777777">
        <w:trPr>
          <w:cantSplit/>
          <w:jc w:val="center"/>
        </w:trPr>
        <w:tc>
          <w:tcPr>
            <w:tcW w:w="2484" w:type="dxa"/>
            <w:vAlign w:val="center"/>
          </w:tcPr>
          <w:p w14:paraId="472F5F2A" w14:textId="77777777" w:rsidR="00762E5F" w:rsidRDefault="00000000" w:rsidP="00B34B59">
            <w:pPr>
              <w:spacing w:after="0" w:line="360" w:lineRule="auto"/>
            </w:pPr>
            <w:r>
              <w:rPr>
                <w:i/>
                <w:sz w:val="20"/>
              </w:rPr>
              <w:t>SUS</w:t>
            </w:r>
          </w:p>
        </w:tc>
        <w:tc>
          <w:tcPr>
            <w:tcW w:w="2484" w:type="dxa"/>
            <w:vAlign w:val="center"/>
          </w:tcPr>
          <w:p w14:paraId="7F62962F" w14:textId="77777777" w:rsidR="00762E5F" w:rsidRDefault="00000000" w:rsidP="00B34B59">
            <w:pPr>
              <w:spacing w:after="0" w:line="360" w:lineRule="auto"/>
              <w:jc w:val="center"/>
            </w:pPr>
            <w:r>
              <w:rPr>
                <w:sz w:val="20"/>
              </w:rPr>
              <w:t>T2</w:t>
            </w:r>
          </w:p>
        </w:tc>
        <w:tc>
          <w:tcPr>
            <w:tcW w:w="2484" w:type="dxa"/>
            <w:vAlign w:val="center"/>
          </w:tcPr>
          <w:p w14:paraId="042897AB" w14:textId="77777777" w:rsidR="00762E5F" w:rsidRDefault="00000000" w:rsidP="00B34B59">
            <w:pPr>
              <w:spacing w:after="0" w:line="360" w:lineRule="auto"/>
              <w:jc w:val="center"/>
            </w:pPr>
            <w:r>
              <w:rPr>
                <w:sz w:val="20"/>
              </w:rPr>
              <w:t>85,09 (9,54)</w:t>
            </w:r>
          </w:p>
        </w:tc>
        <w:tc>
          <w:tcPr>
            <w:tcW w:w="2484" w:type="dxa"/>
            <w:vAlign w:val="center"/>
          </w:tcPr>
          <w:p w14:paraId="244F21B6" w14:textId="77777777" w:rsidR="00762E5F" w:rsidRDefault="00000000" w:rsidP="00B34B59">
            <w:pPr>
              <w:spacing w:after="0" w:line="360" w:lineRule="auto"/>
              <w:jc w:val="center"/>
            </w:pPr>
            <w:r>
              <w:rPr>
                <w:sz w:val="20"/>
              </w:rPr>
              <w:t>utilizabilitate ridicată</w:t>
            </w:r>
          </w:p>
        </w:tc>
      </w:tr>
      <w:tr w:rsidR="00762E5F" w14:paraId="7CF6CA9E" w14:textId="77777777">
        <w:trPr>
          <w:cantSplit/>
          <w:jc w:val="center"/>
        </w:trPr>
        <w:tc>
          <w:tcPr>
            <w:tcW w:w="2484" w:type="dxa"/>
            <w:vAlign w:val="center"/>
          </w:tcPr>
          <w:p w14:paraId="773EF2CE" w14:textId="77777777" w:rsidR="00762E5F" w:rsidRDefault="00000000" w:rsidP="00B34B59">
            <w:pPr>
              <w:spacing w:after="0" w:line="360" w:lineRule="auto"/>
            </w:pPr>
            <w:r>
              <w:rPr>
                <w:i/>
                <w:sz w:val="20"/>
              </w:rPr>
              <w:t>NASA-TLX</w:t>
            </w:r>
          </w:p>
        </w:tc>
        <w:tc>
          <w:tcPr>
            <w:tcW w:w="2484" w:type="dxa"/>
            <w:vAlign w:val="center"/>
          </w:tcPr>
          <w:p w14:paraId="44F5C9B6" w14:textId="77777777" w:rsidR="00762E5F" w:rsidRDefault="00000000" w:rsidP="00B34B59">
            <w:pPr>
              <w:spacing w:after="0" w:line="360" w:lineRule="auto"/>
              <w:jc w:val="center"/>
            </w:pPr>
            <w:r>
              <w:rPr>
                <w:sz w:val="20"/>
              </w:rPr>
              <w:t>T2</w:t>
            </w:r>
          </w:p>
        </w:tc>
        <w:tc>
          <w:tcPr>
            <w:tcW w:w="2484" w:type="dxa"/>
            <w:vAlign w:val="center"/>
          </w:tcPr>
          <w:p w14:paraId="24483525" w14:textId="77777777" w:rsidR="00762E5F" w:rsidRDefault="00000000" w:rsidP="00B34B59">
            <w:pPr>
              <w:spacing w:after="0" w:line="360" w:lineRule="auto"/>
              <w:jc w:val="center"/>
            </w:pPr>
            <w:r>
              <w:rPr>
                <w:sz w:val="20"/>
              </w:rPr>
              <w:t>32,50 (17,13)</w:t>
            </w:r>
          </w:p>
        </w:tc>
        <w:tc>
          <w:tcPr>
            <w:tcW w:w="2484" w:type="dxa"/>
            <w:vAlign w:val="center"/>
          </w:tcPr>
          <w:p w14:paraId="012B80BF" w14:textId="77777777" w:rsidR="00762E5F" w:rsidRDefault="00000000" w:rsidP="00B34B59">
            <w:pPr>
              <w:spacing w:after="0" w:line="360" w:lineRule="auto"/>
              <w:jc w:val="center"/>
            </w:pPr>
            <w:r>
              <w:rPr>
                <w:sz w:val="20"/>
              </w:rPr>
              <w:t>încărcare scăzută-moderată</w:t>
            </w:r>
          </w:p>
        </w:tc>
      </w:tr>
      <w:tr w:rsidR="00762E5F" w14:paraId="1FE4F71F" w14:textId="77777777">
        <w:trPr>
          <w:cantSplit/>
          <w:jc w:val="center"/>
        </w:trPr>
        <w:tc>
          <w:tcPr>
            <w:tcW w:w="2484" w:type="dxa"/>
            <w:vAlign w:val="center"/>
          </w:tcPr>
          <w:p w14:paraId="22C80830" w14:textId="77777777" w:rsidR="00762E5F" w:rsidRDefault="00000000" w:rsidP="00B34B59">
            <w:pPr>
              <w:spacing w:after="0" w:line="360" w:lineRule="auto"/>
            </w:pPr>
            <w:r>
              <w:rPr>
                <w:sz w:val="20"/>
              </w:rPr>
              <w:t>Empatie afectivă</w:t>
            </w:r>
          </w:p>
        </w:tc>
        <w:tc>
          <w:tcPr>
            <w:tcW w:w="2484" w:type="dxa"/>
            <w:vAlign w:val="center"/>
          </w:tcPr>
          <w:p w14:paraId="6EEED0F5" w14:textId="77777777" w:rsidR="00762E5F" w:rsidRDefault="00000000" w:rsidP="00B34B59">
            <w:pPr>
              <w:spacing w:after="0" w:line="360" w:lineRule="auto"/>
              <w:jc w:val="center"/>
            </w:pPr>
            <w:r>
              <w:rPr>
                <w:sz w:val="20"/>
              </w:rPr>
              <w:t>T1-T2</w:t>
            </w:r>
          </w:p>
        </w:tc>
        <w:tc>
          <w:tcPr>
            <w:tcW w:w="2484" w:type="dxa"/>
            <w:vAlign w:val="center"/>
          </w:tcPr>
          <w:p w14:paraId="5AD337B2" w14:textId="77777777" w:rsidR="00762E5F" w:rsidRDefault="00000000" w:rsidP="00B34B59">
            <w:pPr>
              <w:spacing w:after="0" w:line="360" w:lineRule="auto"/>
              <w:jc w:val="center"/>
            </w:pPr>
            <w:r>
              <w:rPr>
                <w:sz w:val="20"/>
              </w:rPr>
              <w:t>14,20 -&gt; 16,22</w:t>
            </w:r>
          </w:p>
        </w:tc>
        <w:tc>
          <w:tcPr>
            <w:tcW w:w="2484" w:type="dxa"/>
            <w:vAlign w:val="center"/>
          </w:tcPr>
          <w:p w14:paraId="740C88B1" w14:textId="77777777" w:rsidR="00762E5F" w:rsidRDefault="00000000" w:rsidP="00B34B59">
            <w:pPr>
              <w:spacing w:after="0" w:line="360" w:lineRule="auto"/>
              <w:jc w:val="center"/>
            </w:pPr>
            <w:r>
              <w:rPr>
                <w:sz w:val="20"/>
              </w:rPr>
              <w:t>creștere semnificativă, p &lt; .001</w:t>
            </w:r>
          </w:p>
        </w:tc>
      </w:tr>
      <w:tr w:rsidR="00762E5F" w14:paraId="73533B68" w14:textId="77777777">
        <w:trPr>
          <w:cantSplit/>
          <w:jc w:val="center"/>
        </w:trPr>
        <w:tc>
          <w:tcPr>
            <w:tcW w:w="2484" w:type="dxa"/>
            <w:vAlign w:val="center"/>
          </w:tcPr>
          <w:p w14:paraId="2DE92DD0" w14:textId="77777777" w:rsidR="00762E5F" w:rsidRDefault="00000000" w:rsidP="00B34B59">
            <w:pPr>
              <w:spacing w:after="0" w:line="360" w:lineRule="auto"/>
            </w:pPr>
            <w:r>
              <w:rPr>
                <w:sz w:val="20"/>
              </w:rPr>
              <w:t>Empatie cognitivă</w:t>
            </w:r>
          </w:p>
        </w:tc>
        <w:tc>
          <w:tcPr>
            <w:tcW w:w="2484" w:type="dxa"/>
            <w:vAlign w:val="center"/>
          </w:tcPr>
          <w:p w14:paraId="658F5E53" w14:textId="77777777" w:rsidR="00762E5F" w:rsidRDefault="00000000" w:rsidP="00B34B59">
            <w:pPr>
              <w:spacing w:after="0" w:line="360" w:lineRule="auto"/>
              <w:jc w:val="center"/>
            </w:pPr>
            <w:r>
              <w:rPr>
                <w:sz w:val="20"/>
              </w:rPr>
              <w:t>T1-T2</w:t>
            </w:r>
          </w:p>
        </w:tc>
        <w:tc>
          <w:tcPr>
            <w:tcW w:w="2484" w:type="dxa"/>
            <w:vAlign w:val="center"/>
          </w:tcPr>
          <w:p w14:paraId="48228738" w14:textId="77777777" w:rsidR="00762E5F" w:rsidRDefault="00000000" w:rsidP="00B34B59">
            <w:pPr>
              <w:spacing w:after="0" w:line="360" w:lineRule="auto"/>
              <w:jc w:val="center"/>
            </w:pPr>
            <w:r>
              <w:rPr>
                <w:sz w:val="20"/>
              </w:rPr>
              <w:t>17,56 -&gt; 19,13</w:t>
            </w:r>
          </w:p>
        </w:tc>
        <w:tc>
          <w:tcPr>
            <w:tcW w:w="2484" w:type="dxa"/>
            <w:vAlign w:val="center"/>
          </w:tcPr>
          <w:p w14:paraId="6FAA4CDA" w14:textId="77777777" w:rsidR="00762E5F" w:rsidRDefault="00000000" w:rsidP="00B34B59">
            <w:pPr>
              <w:spacing w:after="0" w:line="360" w:lineRule="auto"/>
              <w:jc w:val="center"/>
            </w:pPr>
            <w:r>
              <w:rPr>
                <w:sz w:val="20"/>
              </w:rPr>
              <w:t>creștere semnificativă, p &lt; .001</w:t>
            </w:r>
          </w:p>
        </w:tc>
      </w:tr>
      <w:tr w:rsidR="00762E5F" w14:paraId="013B4CFB" w14:textId="77777777">
        <w:trPr>
          <w:cantSplit/>
          <w:jc w:val="center"/>
        </w:trPr>
        <w:tc>
          <w:tcPr>
            <w:tcW w:w="2484" w:type="dxa"/>
            <w:vAlign w:val="center"/>
          </w:tcPr>
          <w:p w14:paraId="5B1AFA7E" w14:textId="77777777" w:rsidR="00762E5F" w:rsidRDefault="00000000" w:rsidP="00B34B59">
            <w:pPr>
              <w:spacing w:after="0" w:line="360" w:lineRule="auto"/>
            </w:pPr>
            <w:r>
              <w:rPr>
                <w:sz w:val="20"/>
              </w:rPr>
              <w:t>Empatie asociativă</w:t>
            </w:r>
          </w:p>
        </w:tc>
        <w:tc>
          <w:tcPr>
            <w:tcW w:w="2484" w:type="dxa"/>
            <w:vAlign w:val="center"/>
          </w:tcPr>
          <w:p w14:paraId="35089B66" w14:textId="77777777" w:rsidR="00762E5F" w:rsidRDefault="00000000" w:rsidP="00B34B59">
            <w:pPr>
              <w:spacing w:after="0" w:line="360" w:lineRule="auto"/>
              <w:jc w:val="center"/>
            </w:pPr>
            <w:r>
              <w:rPr>
                <w:sz w:val="20"/>
              </w:rPr>
              <w:t>T1-T2</w:t>
            </w:r>
          </w:p>
        </w:tc>
        <w:tc>
          <w:tcPr>
            <w:tcW w:w="2484" w:type="dxa"/>
            <w:vAlign w:val="center"/>
          </w:tcPr>
          <w:p w14:paraId="263E79EA" w14:textId="77777777" w:rsidR="00762E5F" w:rsidRDefault="00000000" w:rsidP="00B34B59">
            <w:pPr>
              <w:spacing w:after="0" w:line="360" w:lineRule="auto"/>
              <w:jc w:val="center"/>
            </w:pPr>
            <w:r>
              <w:rPr>
                <w:sz w:val="20"/>
              </w:rPr>
              <w:t>15,02 -&gt; 16,69</w:t>
            </w:r>
          </w:p>
        </w:tc>
        <w:tc>
          <w:tcPr>
            <w:tcW w:w="2484" w:type="dxa"/>
            <w:vAlign w:val="center"/>
          </w:tcPr>
          <w:p w14:paraId="45D7C206" w14:textId="77777777" w:rsidR="00762E5F" w:rsidRDefault="00000000" w:rsidP="00B34B59">
            <w:pPr>
              <w:spacing w:after="0" w:line="360" w:lineRule="auto"/>
              <w:jc w:val="center"/>
            </w:pPr>
            <w:r>
              <w:rPr>
                <w:sz w:val="20"/>
              </w:rPr>
              <w:t>creștere semnificativă, p = .001</w:t>
            </w:r>
          </w:p>
        </w:tc>
      </w:tr>
    </w:tbl>
    <w:p w14:paraId="5B04E2C4" w14:textId="77777777" w:rsidR="00762E5F" w:rsidRDefault="00762E5F" w:rsidP="00B34B59">
      <w:pPr>
        <w:spacing w:after="0" w:line="360" w:lineRule="auto"/>
      </w:pPr>
    </w:p>
    <w:p w14:paraId="657C7223" w14:textId="77777777" w:rsidR="00762E5F" w:rsidRPr="0030402D" w:rsidRDefault="00000000" w:rsidP="00B34B59">
      <w:pPr>
        <w:pStyle w:val="Heading3"/>
        <w:spacing w:after="0" w:line="360" w:lineRule="auto"/>
        <w:rPr>
          <w:color w:val="000000" w:themeColor="text1"/>
        </w:rPr>
      </w:pPr>
      <w:r w:rsidRPr="0030402D">
        <w:rPr>
          <w:rFonts w:ascii="Times New Roman" w:eastAsia="Times New Roman" w:hAnsi="Times New Roman"/>
          <w:color w:val="000000" w:themeColor="text1"/>
        </w:rPr>
        <w:t>3.2.4. Discuții și concluzii</w:t>
      </w:r>
    </w:p>
    <w:p w14:paraId="72339476" w14:textId="0316E601" w:rsidR="00762E5F" w:rsidRDefault="00280A80" w:rsidP="00B34B59">
      <w:pPr>
        <w:spacing w:after="0" w:line="360" w:lineRule="auto"/>
        <w:jc w:val="both"/>
      </w:pPr>
      <w:r>
        <w:tab/>
        <w:t xml:space="preserve">Studiul 2 a arătat că aplicația </w:t>
      </w:r>
      <w:r>
        <w:rPr>
          <w:i/>
        </w:rPr>
        <w:t>Future Psychotherapists</w:t>
      </w:r>
      <w:r>
        <w:t xml:space="preserve"> este fezabilă și utilizabilă pentru un eșantion de viitori psihoterapeuți</w:t>
      </w:r>
      <w:r w:rsidR="0030402D">
        <w:t>.</w:t>
      </w:r>
      <w:r>
        <w:t xml:space="preserve"> Lipsa creșterilor semnificative ale </w:t>
      </w:r>
      <w:r w:rsidR="0030402D">
        <w:t>răului de simulator</w:t>
      </w:r>
      <w:r>
        <w:t xml:space="preserve"> este importantă pentru implementarea practică, deoarece disconfortul indus de VR poate reduce atenția, performanța și disponibilitatea utilizatorilor de a finaliza sarcina. În acest studiu, simptomele au rămas la un nivel care nu pare să fi interferat substanțial cu implicarea în training.</w:t>
      </w:r>
    </w:p>
    <w:p w14:paraId="3FD35459" w14:textId="58913E79" w:rsidR="00762E5F" w:rsidRDefault="00000000" w:rsidP="00B34B59">
      <w:pPr>
        <w:spacing w:after="0" w:line="360" w:lineRule="auto"/>
        <w:jc w:val="both"/>
      </w:pPr>
      <w:r>
        <w:t xml:space="preserve">Scorul ridicat de utilizabilitate indică faptul că participanții au perceput interfața ca fiind intuitivă și ușor de folosit, conform logicii de interpretare a </w:t>
      </w:r>
      <w:r>
        <w:rPr>
          <w:i/>
        </w:rPr>
        <w:t>System Usability Scale</w:t>
      </w:r>
      <w:r>
        <w:t xml:space="preserve"> (Brooke, 1996). Nivelul scăzut spre moderat al încărcării cognitive sugerează că design</w:t>
      </w:r>
      <w:r w:rsidR="00111AE0">
        <w:t>-</w:t>
      </w:r>
      <w:r>
        <w:t>ul minimalist al aplicației a fost potrivit pentru menținerea atenției asupra alegerii răspunsurilor terapeutice, și nu asupra elementelor vizuale secundare; acest lucru este coerent cu ideea că încărcarea cognitivă adecvată sprijină învățarea (Kirschner, 2002).</w:t>
      </w:r>
    </w:p>
    <w:p w14:paraId="2957C050" w14:textId="5716882A" w:rsidR="00762E5F" w:rsidRDefault="00111AE0" w:rsidP="00B34B59">
      <w:pPr>
        <w:spacing w:after="0" w:line="360" w:lineRule="auto"/>
        <w:jc w:val="both"/>
      </w:pPr>
      <w:r>
        <w:tab/>
        <w:t>Evaluarea experților a susținut relevanța clinică și pedagogică a conținutului. Faptul că experții au evaluat favorabil atât componentele de empatie, cât și pe cele de alianță terapeutică arată că scenariul și răspunsurile incluse au fost considerate adecvate pentru formarea viitorilor psihoterapeuți. Această etapă a fost importantă deoarece studenții, fiind novici, nu pot stabili singuri un standard profesional al răspunsurilor corecte.</w:t>
      </w:r>
    </w:p>
    <w:p w14:paraId="267978B5" w14:textId="167295CB" w:rsidR="00762E5F" w:rsidRDefault="00111AE0" w:rsidP="00B34B59">
      <w:pPr>
        <w:spacing w:after="0" w:line="360" w:lineRule="auto"/>
        <w:jc w:val="both"/>
      </w:pPr>
      <w:r>
        <w:tab/>
        <w:t xml:space="preserve">Creșterile exploratorii ale empatiei </w:t>
      </w:r>
      <w:r w:rsidR="0030402D">
        <w:t>ca</w:t>
      </w:r>
      <w:r>
        <w:t xml:space="preserve"> stare trebuie interpretate cu precauție</w:t>
      </w:r>
      <w:r w:rsidR="0030402D">
        <w:t>, deoarece s-a utilizat un design cu un singur grup</w:t>
      </w:r>
      <w:r>
        <w:t>. Totuși, ele oferă un prim semnal că aplicația poate activa procese empatice relevante. În ansamblu, Studiul 2 a justificat trecerea la etapa următoare a programului de cercetare: testarea controlată a eficacității aplicației și includerea unei măsurători standardizate a prezenței.</w:t>
      </w:r>
    </w:p>
    <w:p w14:paraId="1D1881B6" w14:textId="77777777" w:rsidR="00762E5F" w:rsidRDefault="00000000" w:rsidP="00B34B59">
      <w:pPr>
        <w:spacing w:after="0" w:line="360" w:lineRule="auto"/>
      </w:pPr>
      <w:r>
        <w:br w:type="page"/>
      </w:r>
    </w:p>
    <w:p w14:paraId="5034E14F" w14:textId="77777777" w:rsidR="00762E5F" w:rsidRPr="0030402D" w:rsidRDefault="00000000" w:rsidP="00B34B59">
      <w:pPr>
        <w:pStyle w:val="Heading2"/>
        <w:spacing w:after="0" w:line="360" w:lineRule="auto"/>
        <w:jc w:val="both"/>
        <w:rPr>
          <w:color w:val="000000" w:themeColor="text1"/>
        </w:rPr>
      </w:pPr>
      <w:r w:rsidRPr="0030402D">
        <w:rPr>
          <w:rFonts w:ascii="Times New Roman" w:eastAsia="Times New Roman" w:hAnsi="Times New Roman"/>
          <w:color w:val="000000" w:themeColor="text1"/>
        </w:rPr>
        <w:t>3.3. Studiul 3. Traducerea și validarea versiunii românești a</w:t>
      </w:r>
      <w:r>
        <w:rPr>
          <w:rFonts w:ascii="Times New Roman" w:eastAsia="Times New Roman" w:hAnsi="Times New Roman"/>
          <w:color w:val="000000" w:themeColor="text1"/>
        </w:rPr>
        <w:t xml:space="preserve"> </w:t>
      </w:r>
      <w:r>
        <w:rPr>
          <w:rFonts w:ascii="Times New Roman" w:eastAsia="Times New Roman" w:hAnsi="Times New Roman"/>
          <w:i/>
          <w:color w:val="000000" w:themeColor="text1"/>
        </w:rPr>
        <w:t>ITC-Sense of Presence Inventory</w:t>
      </w:r>
      <w:r>
        <w:rPr>
          <w:rFonts w:ascii="Times New Roman" w:eastAsia="Times New Roman" w:hAnsi="Times New Roman"/>
          <w:color w:val="000000" w:themeColor="text1"/>
        </w:rPr>
        <w:t xml:space="preserve"> (</w:t>
      </w:r>
      <w:r>
        <w:rPr>
          <w:rFonts w:ascii="Times New Roman" w:eastAsia="Times New Roman" w:hAnsi="Times New Roman"/>
          <w:i/>
          <w:color w:val="000000" w:themeColor="text1"/>
        </w:rPr>
        <w:t>ITC-SOPI</w:t>
      </w:r>
      <w:r>
        <w:rPr>
          <w:rFonts w:ascii="Times New Roman" w:eastAsia="Times New Roman" w:hAnsi="Times New Roman"/>
          <w:color w:val="000000" w:themeColor="text1"/>
        </w:rPr>
        <w:t xml:space="preserve">) </w:t>
      </w:r>
      <w:r w:rsidRPr="0030402D">
        <w:rPr>
          <w:rFonts w:ascii="Times New Roman" w:eastAsia="Times New Roman" w:hAnsi="Times New Roman"/>
          <w:color w:val="000000" w:themeColor="text1"/>
        </w:rPr>
        <w:t>pentru evaluarea prezenței în realitatea virtuală</w:t>
      </w:r>
      <w:r w:rsidR="0030402D">
        <w:rPr>
          <w:rStyle w:val="FootnoteReference"/>
          <w:rFonts w:ascii="Times New Roman" w:eastAsia="Times New Roman" w:hAnsi="Times New Roman"/>
          <w:color w:val="000000" w:themeColor="text1"/>
        </w:rPr>
        <w:footnoteReference w:id="2"/>
      </w:r>
    </w:p>
    <w:p w14:paraId="17B46466" w14:textId="77777777" w:rsidR="00762E5F" w:rsidRPr="0030402D" w:rsidRDefault="00000000" w:rsidP="00B34B59">
      <w:pPr>
        <w:pStyle w:val="Heading3"/>
        <w:spacing w:after="0" w:line="360" w:lineRule="auto"/>
        <w:rPr>
          <w:color w:val="000000" w:themeColor="text1"/>
        </w:rPr>
      </w:pPr>
      <w:r w:rsidRPr="0030402D">
        <w:rPr>
          <w:rFonts w:ascii="Times New Roman" w:eastAsia="Times New Roman" w:hAnsi="Times New Roman"/>
          <w:color w:val="000000" w:themeColor="text1"/>
        </w:rPr>
        <w:t>3.3.1. Introducere</w:t>
      </w:r>
    </w:p>
    <w:p w14:paraId="7E7C6894" w14:textId="77777777" w:rsidR="00762E5F" w:rsidRDefault="00000000" w:rsidP="00B34B59">
      <w:pPr>
        <w:spacing w:after="0" w:line="360" w:lineRule="auto"/>
        <w:jc w:val="both"/>
      </w:pPr>
      <w:r>
        <w:t>Studiul 3 a avut o funcție metodologică esențială în cadrul tezei</w:t>
      </w:r>
      <w:r w:rsidR="0030402D">
        <w:t>, aceasta fiind</w:t>
      </w:r>
      <w:r>
        <w:t xml:space="preserve"> adaptarea în limba română a unui instrument pentru evaluarea prezenței în realitatea virtuală. Pe măsură ce tehnologiile VR sunt utilizate în tot mai multe domenii, devine necesară evaluarea nu doar a rezultatelor clinice sau educaționale, ci și a experienței subiective a utilizatorului. Prezența reprezintă unul dintre conceptele centrale pentru înțelegerea modului în care utilizatorii trăiesc mediile virtuale (Lessiter et al., 2001).</w:t>
      </w:r>
    </w:p>
    <w:p w14:paraId="05C4F992" w14:textId="660F3A5A" w:rsidR="00762E5F" w:rsidRDefault="00157054" w:rsidP="00B34B59">
      <w:pPr>
        <w:spacing w:after="0" w:line="360" w:lineRule="auto"/>
        <w:jc w:val="both"/>
      </w:pPr>
      <w:r>
        <w:tab/>
        <w:t xml:space="preserve">Prezența a fost definită în literatură drept experiența subiectivă de a fi localizat într-un mediu virtual, în timp ce atenția se deplasează de la mediul fizic către mediul virtual (Kisker et al., 2021). Modelele clasice diferențiază prezența de imersiune: imersiunea se referă la proprietățile tehnice ale sistemului, iar prezența la experiența psihologică a utilizatorului (Lee, 2004; Slater &amp; Wilbur, 1997). Modelele descriptive ale prezenței se concentrează pe componente ale experienței, precum prezența spațială, implicarea și realismul, ceea ce susține tratarea prezenței ca fenomen multidimensional. </w:t>
      </w:r>
    </w:p>
    <w:p w14:paraId="70A6F6A1" w14:textId="15611583" w:rsidR="00762E5F" w:rsidRDefault="00157054" w:rsidP="00B34B59">
      <w:pPr>
        <w:spacing w:after="0" w:line="360" w:lineRule="auto"/>
        <w:jc w:val="both"/>
      </w:pPr>
      <w:r>
        <w:tab/>
        <w:t>Relația dintre prezență și rezultatele intervențiilor VR este complexă. În terapia prin expunere în realitate virtuală, prezența a fost asociată cu activarea emoțională, dar nu în mod constant cu rezultatul tratamentului (Ling et al., 2014; Price &amp; Anderson, 2007). În contexte educaționale, unele studii au indicat roluri favorabile ale prezenței, în timp ce altele au arătat că o prezență mai mare poate fi însoțită de încărcare cognitivă mai ridicată</w:t>
      </w:r>
      <w:r w:rsidR="00711C62">
        <w:t>,</w:t>
      </w:r>
      <w:r>
        <w:t xml:space="preserve"> rezultatele învățării</w:t>
      </w:r>
      <w:r w:rsidR="00711C62">
        <w:t xml:space="preserve"> fiind</w:t>
      </w:r>
      <w:r>
        <w:t xml:space="preserve"> mai slabe (Makransky et al., 2019; Yang et al., 2023). Această ambiguitate justifică măsurarea sistematică a prezenței, fără a presupune că ea reprezintă automat mecanismul principal al schimbării.</w:t>
      </w:r>
    </w:p>
    <w:p w14:paraId="50507F37" w14:textId="4ADBA75F" w:rsidR="00762E5F" w:rsidRDefault="00157054" w:rsidP="00B34B59">
      <w:pPr>
        <w:spacing w:after="0" w:line="360" w:lineRule="auto"/>
        <w:jc w:val="both"/>
      </w:pPr>
      <w:r>
        <w:rPr>
          <w:i/>
        </w:rPr>
        <w:tab/>
        <w:t xml:space="preserve">ITC-SOPI </w:t>
      </w:r>
      <w:r>
        <w:t xml:space="preserve">(Lessiter et al., 2001) este un instrument relevant, deoarece a fost proiectat pentru măsurarea prezenței în contexte media diferite și include patru dimensiuni: </w:t>
      </w:r>
      <w:r w:rsidRPr="00157054">
        <w:rPr>
          <w:i/>
          <w:iCs/>
        </w:rPr>
        <w:t>Sense of Physical Space, Engagement, Ecological Validity/Naturalness și Negative Effects</w:t>
      </w:r>
      <w:r>
        <w:t xml:space="preserve"> (Lessiter et al., 2001). În România nu era disponibilă o versiune standardizată și validată psihometric a acestui instrument, ceea ce limita comparabilitatea studiilor VR desfășurate pe eșantioane românești. Obiectivul Studiului 3 a fost traducerea, adaptarea culturală și evaluarea proprietăților psihometrice ale versiunii românești.</w:t>
      </w:r>
    </w:p>
    <w:p w14:paraId="3B2D3D38" w14:textId="77777777" w:rsidR="00762E5F" w:rsidRPr="00711C62" w:rsidRDefault="00000000" w:rsidP="00B34B59">
      <w:pPr>
        <w:pStyle w:val="Heading3"/>
        <w:spacing w:after="0" w:line="360" w:lineRule="auto"/>
        <w:rPr>
          <w:color w:val="000000" w:themeColor="text1"/>
        </w:rPr>
      </w:pPr>
      <w:r w:rsidRPr="00711C62">
        <w:rPr>
          <w:rFonts w:ascii="Times New Roman" w:eastAsia="Times New Roman" w:hAnsi="Times New Roman"/>
          <w:color w:val="000000" w:themeColor="text1"/>
        </w:rPr>
        <w:t>3.3.2. Metode</w:t>
      </w:r>
    </w:p>
    <w:p w14:paraId="519257D2" w14:textId="09A04A76" w:rsidR="00762E5F" w:rsidRDefault="00157054" w:rsidP="00B34B59">
      <w:pPr>
        <w:spacing w:after="0" w:line="360" w:lineRule="auto"/>
        <w:jc w:val="both"/>
      </w:pPr>
      <w:r>
        <w:tab/>
        <w:t>Eșantionul a inclus 241 de participanți vorbitori de limba română, recrutați de la Facultatea de Psihologie și Științe ale Educației din Cluj-Napoca. Dintre aceștia, 223 au fost femei (92,53%) și 18 bărbați (7,47%). Toți participanții au fost expuși unui scenariu VR înainte de completarea chestionarelor. În ceea ce privește experiența anterioară cu VR, 39,49% au raportat utilizarea anterioară a VR-ului într-un context experimental, iar nivelul de cunoștințe VR a fost evaluat de cei mai mulți ca absent sau elementar. Vârsta participanților nu a fost colectată, ceea ce reprezintă o limitare a studiului.</w:t>
      </w:r>
    </w:p>
    <w:p w14:paraId="76400241" w14:textId="65554BFC" w:rsidR="00762E5F" w:rsidRDefault="00157054" w:rsidP="00B34B59">
      <w:pPr>
        <w:spacing w:after="0" w:line="360" w:lineRule="auto"/>
        <w:jc w:val="both"/>
      </w:pPr>
      <w:r>
        <w:tab/>
        <w:t xml:space="preserve">Adaptarea instrumentului a urmat o procedură de back-translation. Doi psihologi bilingvi, vorbitori nativi de limba română, au tradus independent itemii din engleză în română. Traducerile au fost comparate și reconciliate într-o versiune preliminară, cu accent pe echivalența conceptuală și nu pe traducerea literală. Ulterior, un al treilea traducător bilingv a realizat traducerea inversă în engleză, fără acces la instrumentul original și fără cunoașterea obiectivelor studiului. Versiunea </w:t>
      </w:r>
      <w:r w:rsidR="00711C62">
        <w:t>re-tradusă</w:t>
      </w:r>
      <w:r>
        <w:t xml:space="preserve"> a fost comparată cu originalul, iar discrepanțele au fost discutate până la consens.</w:t>
      </w:r>
    </w:p>
    <w:p w14:paraId="10A37832" w14:textId="1450E874" w:rsidR="00762E5F" w:rsidRDefault="00157054" w:rsidP="00B34B59">
      <w:pPr>
        <w:spacing w:after="0" w:line="360" w:lineRule="auto"/>
        <w:jc w:val="both"/>
      </w:pPr>
      <w:r>
        <w:tab/>
        <w:t xml:space="preserve">Participanții au parcurs o experiență VR cu aplicația Nature Treks VR, în mediul </w:t>
      </w:r>
      <w:r w:rsidRPr="00157054">
        <w:rPr>
          <w:i/>
          <w:iCs/>
        </w:rPr>
        <w:t>White Winter</w:t>
      </w:r>
      <w:r>
        <w:t>, utilizând headset</w:t>
      </w:r>
      <w:r w:rsidR="00711C62">
        <w:t>-</w:t>
      </w:r>
      <w:r>
        <w:t xml:space="preserve">uri Meta Quest 2. După expunerea VR, aceștia au completat instrumentele incluse în analiză: </w:t>
      </w:r>
      <w:r>
        <w:rPr>
          <w:i/>
        </w:rPr>
        <w:t>ITC-SOPI</w:t>
      </w:r>
      <w:r>
        <w:t xml:space="preserve"> (Lessiter et al., 2001), </w:t>
      </w:r>
      <w:r>
        <w:rPr>
          <w:i/>
        </w:rPr>
        <w:t>Igroup Presence Questionnaire</w:t>
      </w:r>
      <w:r>
        <w:t xml:space="preserve"> (Schubert et al., 2001) și </w:t>
      </w:r>
      <w:r>
        <w:rPr>
          <w:i/>
        </w:rPr>
        <w:t>Simulator Sickness Questionnaire</w:t>
      </w:r>
      <w:r>
        <w:t xml:space="preserve"> (Kennedy et al., 1993). Procedura a avut loc într-o singură sesiune de aproximativ 30 de minute.</w:t>
      </w:r>
    </w:p>
    <w:p w14:paraId="6A46BDF3" w14:textId="70A72211" w:rsidR="00762E5F" w:rsidRDefault="00157054" w:rsidP="00B34B59">
      <w:pPr>
        <w:spacing w:after="0" w:line="360" w:lineRule="auto"/>
        <w:jc w:val="both"/>
      </w:pPr>
      <w:r>
        <w:tab/>
        <w:t xml:space="preserve">Analizele au inclus o analiză factorială confirmatorie a structurii originale cu patru factori a </w:t>
      </w:r>
      <w:r>
        <w:rPr>
          <w:i/>
        </w:rPr>
        <w:t>ITC-SOPI</w:t>
      </w:r>
      <w:r>
        <w:t xml:space="preserve"> (Lessiter et al., 2001). Modelul a fost estimat inițial prin </w:t>
      </w:r>
      <w:r w:rsidRPr="00157054">
        <w:rPr>
          <w:i/>
          <w:iCs/>
        </w:rPr>
        <w:t>Maximum Likelihood</w:t>
      </w:r>
      <w:r>
        <w:t xml:space="preserve">, apoi printr-o analiză de sensibilitate folosind WLSMV pentru itemi ordinali. Interpretarea analizelor factoriale confirmatorii a urmat recomandările metodologice pentru CFA (Brown, 2015). Au fost calculate consistențele interne ale subscalelor prin alpha Cronbach, iar validitatea convergentă a fost evaluată prin corelații </w:t>
      </w:r>
      <w:r w:rsidRPr="00157054">
        <w:rPr>
          <w:i/>
          <w:iCs/>
        </w:rPr>
        <w:t>Pearson</w:t>
      </w:r>
      <w:r>
        <w:t xml:space="preserve"> între subscalele </w:t>
      </w:r>
      <w:r>
        <w:rPr>
          <w:i/>
        </w:rPr>
        <w:t>ITC-SOPI</w:t>
      </w:r>
      <w:r>
        <w:t xml:space="preserve"> și dimensiunile </w:t>
      </w:r>
      <w:r>
        <w:rPr>
          <w:i/>
        </w:rPr>
        <w:t>IPQ</w:t>
      </w:r>
      <w:r>
        <w:t xml:space="preserve">, precum și între subscala </w:t>
      </w:r>
      <w:r w:rsidRPr="00157054">
        <w:rPr>
          <w:i/>
          <w:iCs/>
        </w:rPr>
        <w:t>Negative Effects</w:t>
      </w:r>
      <w:r>
        <w:t xml:space="preserve"> și scorurile </w:t>
      </w:r>
      <w:r>
        <w:rPr>
          <w:i/>
        </w:rPr>
        <w:t>SSQ</w:t>
      </w:r>
      <w:r>
        <w:t>.</w:t>
      </w:r>
    </w:p>
    <w:p w14:paraId="36F1FE6D" w14:textId="77777777" w:rsidR="00762E5F" w:rsidRPr="00711C62" w:rsidRDefault="00000000" w:rsidP="00B34B59">
      <w:pPr>
        <w:pStyle w:val="Heading3"/>
        <w:spacing w:after="0" w:line="360" w:lineRule="auto"/>
        <w:rPr>
          <w:color w:val="000000" w:themeColor="text1"/>
        </w:rPr>
      </w:pPr>
      <w:r w:rsidRPr="00711C62">
        <w:rPr>
          <w:rFonts w:ascii="Times New Roman" w:eastAsia="Times New Roman" w:hAnsi="Times New Roman"/>
          <w:color w:val="000000" w:themeColor="text1"/>
        </w:rPr>
        <w:t>3.3.3. Rezultate</w:t>
      </w:r>
    </w:p>
    <w:p w14:paraId="7CBA6BB1" w14:textId="10590FFE" w:rsidR="00762E5F" w:rsidRDefault="00157054" w:rsidP="00B34B59">
      <w:pPr>
        <w:spacing w:after="0" w:line="360" w:lineRule="auto"/>
        <w:jc w:val="both"/>
      </w:pPr>
      <w:r>
        <w:tab/>
        <w:t>Analiza factorială confirmatorie a modelului inițial cu 43 de itemi a indicat un fit modest atunci când itemii au fost tratați ca variabile continue: chi-pătrat(854) = 1858,23, p &lt; .001, CFI = .762, TLI = .749, RMSEA = .070, SRMR = .080. Aceste rezultate au fost interpretate ținând cont de complexitatea instrumentului și de faptul că un număr de itemi au prezentat distribuții asimetrice</w:t>
      </w:r>
      <w:r w:rsidR="00D36412">
        <w:t xml:space="preserve"> (Tabel 4)</w:t>
      </w:r>
      <w:r>
        <w:t>.</w:t>
      </w:r>
    </w:p>
    <w:p w14:paraId="16C26C2D" w14:textId="211C201C" w:rsidR="00762E5F" w:rsidRDefault="00D36412" w:rsidP="00B34B59">
      <w:pPr>
        <w:spacing w:after="0" w:line="360" w:lineRule="auto"/>
        <w:jc w:val="both"/>
      </w:pPr>
      <w:r>
        <w:tab/>
        <w:t>Analiza de sensibilitate cu estimator WLSMV, care tratează itemii Likert ca ordinali, a indicat un fit global îmbunătățit: chi-pătrat(854) = 1536,54, p &lt; .001, CFI = .906, TLI = .900, RMSEA = .058, SRMR = .097. Acest rezultat a oferit suport suplimentar pentru structura cu patru factori a instrumentului. O analiză exploratorie post-hoc, prin eliminarea itemilor cu încărcări standardizate sub .40, a produs doar îmbunătățiri marginale și nu a schimbat interpretarea structurală. Prin urmare, a fost păstrată versiunea completă cu 43 de itemi pentru a conserva validitatea de conținut și comparabilitatea cu instrumentul original.</w:t>
      </w:r>
    </w:p>
    <w:p w14:paraId="3BBCAC07" w14:textId="674C49D6" w:rsidR="00762E5F" w:rsidRDefault="00D36412" w:rsidP="00B34B59">
      <w:pPr>
        <w:spacing w:after="0" w:line="360" w:lineRule="auto"/>
        <w:jc w:val="both"/>
      </w:pPr>
      <w:r>
        <w:tab/>
        <w:t xml:space="preserve">Consistența internă a subscalelor a fost bună, chiar excelentă (Tabelul 5). Aceste valori indică faptul că versiunea românească a </w:t>
      </w:r>
      <w:r>
        <w:rPr>
          <w:i/>
        </w:rPr>
        <w:t>ITC-SOPI</w:t>
      </w:r>
      <w:r>
        <w:t xml:space="preserve"> produce scoruri fiabile pentru dimensiunile evaluate.</w:t>
      </w:r>
    </w:p>
    <w:p w14:paraId="50204C6D" w14:textId="607F05D4" w:rsidR="00762E5F" w:rsidRDefault="00D36412" w:rsidP="00B34B59">
      <w:pPr>
        <w:spacing w:after="0" w:line="360" w:lineRule="auto"/>
        <w:jc w:val="both"/>
      </w:pPr>
      <w:r>
        <w:tab/>
        <w:t xml:space="preserve">Validitatea convergentă a fost susținută de corelațiile pozitive dintre cele trei subscale de prezență ale </w:t>
      </w:r>
      <w:r>
        <w:rPr>
          <w:i/>
        </w:rPr>
        <w:t>ITC-SOPI</w:t>
      </w:r>
      <w:r>
        <w:t xml:space="preserve"> și dimensiunile </w:t>
      </w:r>
      <w:r>
        <w:rPr>
          <w:i/>
        </w:rPr>
        <w:t>IPQ</w:t>
      </w:r>
      <w:r>
        <w:t xml:space="preserve">. Cele mai puternice asocieri au fost observate între </w:t>
      </w:r>
      <w:r w:rsidRPr="00D36412">
        <w:rPr>
          <w:i/>
          <w:iCs/>
        </w:rPr>
        <w:t>Sense of Physical Space și Spatial Presence</w:t>
      </w:r>
      <w:r>
        <w:t xml:space="preserve"> (r = .641, p &lt; .001) și între </w:t>
      </w:r>
      <w:r w:rsidRPr="00D36412">
        <w:rPr>
          <w:i/>
          <w:iCs/>
        </w:rPr>
        <w:t>Engagement și General Presence</w:t>
      </w:r>
      <w:r>
        <w:t xml:space="preserve"> (r = .543, p &lt; .001). Subscala Negative Effects a avut corelații mici și în mare parte nesemnificative cu dimensiunile </w:t>
      </w:r>
      <w:r>
        <w:rPr>
          <w:i/>
        </w:rPr>
        <w:t>IPQ</w:t>
      </w:r>
      <w:r>
        <w:t>, ceea ce susține distinctivitatea sa conceptuală față de prezența propriu-zisă.</w:t>
      </w:r>
    </w:p>
    <w:p w14:paraId="0220E12C" w14:textId="4218EB1E" w:rsidR="00762E5F" w:rsidRDefault="00D36412" w:rsidP="00B34B59">
      <w:pPr>
        <w:spacing w:after="0" w:line="360" w:lineRule="auto"/>
        <w:jc w:val="both"/>
      </w:pPr>
      <w:r>
        <w:tab/>
        <w:t xml:space="preserve">În același timp, subscala </w:t>
      </w:r>
      <w:r w:rsidRPr="00D36412">
        <w:rPr>
          <w:i/>
          <w:iCs/>
        </w:rPr>
        <w:t>Negative Effects</w:t>
      </w:r>
      <w:r>
        <w:t xml:space="preserve"> a corelat pozitiv cu toate dimensiunile </w:t>
      </w:r>
      <w:r>
        <w:rPr>
          <w:i/>
        </w:rPr>
        <w:t>SSQ</w:t>
      </w:r>
      <w:r>
        <w:t xml:space="preserve">, inclusiv cu scorul total </w:t>
      </w:r>
      <w:r>
        <w:rPr>
          <w:i/>
        </w:rPr>
        <w:t>SSQ</w:t>
      </w:r>
      <w:r>
        <w:t xml:space="preserve">, r = .689, p &lt; .001. Regresia multiplă a indicat că modelul care include cele patru subscale </w:t>
      </w:r>
      <w:r>
        <w:rPr>
          <w:i/>
        </w:rPr>
        <w:t>ITC-SOPI</w:t>
      </w:r>
      <w:r>
        <w:t xml:space="preserve"> a explicat 50% din varianța scorului total al r</w:t>
      </w:r>
      <w:r w:rsidR="006F6F24">
        <w:rPr>
          <w:lang w:val="ro-RO"/>
        </w:rPr>
        <w:t>ă</w:t>
      </w:r>
      <w:r>
        <w:t xml:space="preserve">ului de simulator, iar </w:t>
      </w:r>
      <w:r w:rsidRPr="00D36412">
        <w:rPr>
          <w:i/>
          <w:iCs/>
        </w:rPr>
        <w:t>Negative Effects</w:t>
      </w:r>
      <w:r>
        <w:t xml:space="preserve"> a fost predictorul dominant, beta = .711, p &lt; .001 (Tabelul 4). Acest rezultat confirmă rolul acestei subscale ca indicator al disconfortului asociat expunerii VR.</w:t>
      </w:r>
    </w:p>
    <w:p w14:paraId="3D11BB01" w14:textId="77777777" w:rsidR="00D36412" w:rsidRDefault="00D36412" w:rsidP="00B34B59">
      <w:pPr>
        <w:spacing w:after="0" w:line="360" w:lineRule="auto"/>
        <w:jc w:val="both"/>
      </w:pPr>
    </w:p>
    <w:p w14:paraId="6A6C9F35" w14:textId="77777777" w:rsidR="00D36412" w:rsidRDefault="00D36412" w:rsidP="00B34B59">
      <w:pPr>
        <w:spacing w:after="0" w:line="360" w:lineRule="auto"/>
        <w:jc w:val="both"/>
      </w:pPr>
    </w:p>
    <w:p w14:paraId="6F1A7EF3" w14:textId="77777777" w:rsidR="00D36412" w:rsidRDefault="00D36412" w:rsidP="00B34B59">
      <w:pPr>
        <w:spacing w:after="0" w:line="360" w:lineRule="auto"/>
        <w:jc w:val="both"/>
      </w:pPr>
    </w:p>
    <w:p w14:paraId="1C8548BF" w14:textId="77777777" w:rsidR="00D36412" w:rsidRDefault="00D36412" w:rsidP="00B34B59">
      <w:pPr>
        <w:spacing w:after="0" w:line="360" w:lineRule="auto"/>
        <w:jc w:val="both"/>
      </w:pPr>
    </w:p>
    <w:p w14:paraId="2043C9C6" w14:textId="77777777" w:rsidR="00D36412" w:rsidRDefault="00D36412" w:rsidP="00B34B59">
      <w:pPr>
        <w:spacing w:after="0" w:line="360" w:lineRule="auto"/>
        <w:jc w:val="both"/>
      </w:pPr>
    </w:p>
    <w:p w14:paraId="780CD9AF" w14:textId="0302461C" w:rsidR="00762E5F" w:rsidRPr="00D36412" w:rsidRDefault="00762E5F" w:rsidP="00B34B59">
      <w:pPr>
        <w:spacing w:after="0" w:line="360" w:lineRule="auto"/>
        <w:rPr>
          <w:i/>
          <w:iCs/>
        </w:rPr>
      </w:pPr>
      <w:r w:rsidRPr="00D36412">
        <w:rPr>
          <w:b/>
          <w:bCs/>
        </w:rPr>
        <w:t xml:space="preserve">Tabel </w:t>
      </w:r>
      <w:r w:rsidR="00D36412" w:rsidRPr="00D36412">
        <w:rPr>
          <w:b/>
          <w:bCs/>
        </w:rPr>
        <w:t>4</w:t>
      </w:r>
      <w:r w:rsidRPr="00D36412">
        <w:rPr>
          <w:b/>
          <w:bCs/>
        </w:rPr>
        <w:t>.</w:t>
      </w:r>
      <w:r w:rsidR="00D36412">
        <w:t xml:space="preserve"> </w:t>
      </w:r>
      <w:r w:rsidR="00D36412" w:rsidRPr="00D36412">
        <w:rPr>
          <w:i/>
          <w:iCs/>
        </w:rPr>
        <w:t>Rezultatele analizelor factoriale confirmatorii și ale regresiei pentru scorul total SSQ</w:t>
      </w:r>
    </w:p>
    <w:p w14:paraId="28E4DF1C" w14:textId="77777777" w:rsidR="00D36412" w:rsidRDefault="00D36412" w:rsidP="00B34B59">
      <w:pPr>
        <w:spacing w:after="0" w:line="360" w:lineRule="auto"/>
      </w:pPr>
    </w:p>
    <w:tbl>
      <w:tblPr>
        <w:tblStyle w:val="TableGrid"/>
        <w:tblW w:w="0" w:type="auto"/>
        <w:jc w:val="center"/>
        <w:tblLook w:val="04A0" w:firstRow="1" w:lastRow="0" w:firstColumn="1" w:lastColumn="0" w:noHBand="0" w:noVBand="1"/>
      </w:tblPr>
      <w:tblGrid>
        <w:gridCol w:w="3121"/>
        <w:gridCol w:w="3129"/>
        <w:gridCol w:w="3146"/>
      </w:tblGrid>
      <w:tr w:rsidR="00762E5F" w14:paraId="4345C5BB" w14:textId="77777777">
        <w:trPr>
          <w:cantSplit/>
          <w:jc w:val="center"/>
        </w:trPr>
        <w:tc>
          <w:tcPr>
            <w:tcW w:w="3312" w:type="dxa"/>
            <w:vAlign w:val="center"/>
          </w:tcPr>
          <w:p w14:paraId="20080BDB" w14:textId="77777777" w:rsidR="00762E5F" w:rsidRDefault="00000000" w:rsidP="00B34B59">
            <w:pPr>
              <w:spacing w:after="0" w:line="360" w:lineRule="auto"/>
              <w:jc w:val="center"/>
            </w:pPr>
            <w:r>
              <w:rPr>
                <w:b/>
                <w:sz w:val="20"/>
              </w:rPr>
              <w:t>Model / analiză</w:t>
            </w:r>
          </w:p>
        </w:tc>
        <w:tc>
          <w:tcPr>
            <w:tcW w:w="3312" w:type="dxa"/>
            <w:vAlign w:val="center"/>
          </w:tcPr>
          <w:p w14:paraId="6FBB9F02" w14:textId="77777777" w:rsidR="00762E5F" w:rsidRDefault="00000000" w:rsidP="00B34B59">
            <w:pPr>
              <w:spacing w:after="0" w:line="360" w:lineRule="auto"/>
              <w:jc w:val="center"/>
            </w:pPr>
            <w:r>
              <w:rPr>
                <w:b/>
                <w:sz w:val="20"/>
              </w:rPr>
              <w:t>Indicatori principali</w:t>
            </w:r>
          </w:p>
        </w:tc>
        <w:tc>
          <w:tcPr>
            <w:tcW w:w="3312" w:type="dxa"/>
            <w:vAlign w:val="center"/>
          </w:tcPr>
          <w:p w14:paraId="0BCFF063" w14:textId="77777777" w:rsidR="00762E5F" w:rsidRDefault="00000000" w:rsidP="00B34B59">
            <w:pPr>
              <w:spacing w:after="0" w:line="360" w:lineRule="auto"/>
              <w:jc w:val="center"/>
            </w:pPr>
            <w:r>
              <w:rPr>
                <w:b/>
                <w:sz w:val="20"/>
              </w:rPr>
              <w:t>Interpretare</w:t>
            </w:r>
          </w:p>
        </w:tc>
      </w:tr>
      <w:tr w:rsidR="00762E5F" w14:paraId="57872377" w14:textId="77777777">
        <w:trPr>
          <w:cantSplit/>
          <w:jc w:val="center"/>
        </w:trPr>
        <w:tc>
          <w:tcPr>
            <w:tcW w:w="3312" w:type="dxa"/>
            <w:vAlign w:val="center"/>
          </w:tcPr>
          <w:p w14:paraId="66BF6083" w14:textId="77777777" w:rsidR="00762E5F" w:rsidRDefault="00000000" w:rsidP="00B34B59">
            <w:pPr>
              <w:spacing w:after="0" w:line="360" w:lineRule="auto"/>
            </w:pPr>
            <w:r>
              <w:rPr>
                <w:sz w:val="20"/>
              </w:rPr>
              <w:t>CFA ML, 43 itemi</w:t>
            </w:r>
          </w:p>
        </w:tc>
        <w:tc>
          <w:tcPr>
            <w:tcW w:w="3312" w:type="dxa"/>
            <w:vAlign w:val="center"/>
          </w:tcPr>
          <w:p w14:paraId="56E669AA" w14:textId="77777777" w:rsidR="00762E5F" w:rsidRDefault="00000000" w:rsidP="00B34B59">
            <w:pPr>
              <w:spacing w:after="0" w:line="360" w:lineRule="auto"/>
              <w:jc w:val="center"/>
            </w:pPr>
            <w:r>
              <w:rPr>
                <w:sz w:val="20"/>
              </w:rPr>
              <w:t>CFI = .762; TLI = .749; RMSEA = .070; SRMR = .080</w:t>
            </w:r>
          </w:p>
        </w:tc>
        <w:tc>
          <w:tcPr>
            <w:tcW w:w="3312" w:type="dxa"/>
            <w:vAlign w:val="center"/>
          </w:tcPr>
          <w:p w14:paraId="6070840F" w14:textId="77777777" w:rsidR="00762E5F" w:rsidRDefault="00000000" w:rsidP="00B34B59">
            <w:pPr>
              <w:spacing w:after="0" w:line="360" w:lineRule="auto"/>
              <w:jc w:val="center"/>
            </w:pPr>
            <w:r>
              <w:rPr>
                <w:sz w:val="20"/>
              </w:rPr>
              <w:t>fit modest, dar interpretabil în contextul complexității</w:t>
            </w:r>
          </w:p>
        </w:tc>
      </w:tr>
      <w:tr w:rsidR="00762E5F" w14:paraId="542AD334" w14:textId="77777777">
        <w:trPr>
          <w:cantSplit/>
          <w:jc w:val="center"/>
        </w:trPr>
        <w:tc>
          <w:tcPr>
            <w:tcW w:w="3312" w:type="dxa"/>
            <w:vAlign w:val="center"/>
          </w:tcPr>
          <w:p w14:paraId="76687B45" w14:textId="77777777" w:rsidR="00762E5F" w:rsidRDefault="00000000" w:rsidP="00B34B59">
            <w:pPr>
              <w:spacing w:after="0" w:line="360" w:lineRule="auto"/>
            </w:pPr>
            <w:r>
              <w:rPr>
                <w:sz w:val="20"/>
              </w:rPr>
              <w:t>CFA WLSMV</w:t>
            </w:r>
          </w:p>
        </w:tc>
        <w:tc>
          <w:tcPr>
            <w:tcW w:w="3312" w:type="dxa"/>
            <w:vAlign w:val="center"/>
          </w:tcPr>
          <w:p w14:paraId="214E0D9D" w14:textId="77777777" w:rsidR="00762E5F" w:rsidRDefault="00000000" w:rsidP="00B34B59">
            <w:pPr>
              <w:spacing w:after="0" w:line="360" w:lineRule="auto"/>
              <w:jc w:val="center"/>
            </w:pPr>
            <w:r>
              <w:rPr>
                <w:sz w:val="20"/>
              </w:rPr>
              <w:t>CFI = .906; TLI = .900; RMSEA = .058; SRMR = .097</w:t>
            </w:r>
          </w:p>
        </w:tc>
        <w:tc>
          <w:tcPr>
            <w:tcW w:w="3312" w:type="dxa"/>
            <w:vAlign w:val="center"/>
          </w:tcPr>
          <w:p w14:paraId="4A6D0A24" w14:textId="77777777" w:rsidR="00762E5F" w:rsidRDefault="00000000" w:rsidP="00B34B59">
            <w:pPr>
              <w:spacing w:after="0" w:line="360" w:lineRule="auto"/>
              <w:jc w:val="center"/>
            </w:pPr>
            <w:r>
              <w:rPr>
                <w:sz w:val="20"/>
              </w:rPr>
              <w:t>suport mai bun pentru structura cu patru factori</w:t>
            </w:r>
          </w:p>
        </w:tc>
      </w:tr>
      <w:tr w:rsidR="00762E5F" w14:paraId="75BA8706" w14:textId="77777777">
        <w:trPr>
          <w:cantSplit/>
          <w:jc w:val="center"/>
        </w:trPr>
        <w:tc>
          <w:tcPr>
            <w:tcW w:w="3312" w:type="dxa"/>
            <w:vAlign w:val="center"/>
          </w:tcPr>
          <w:p w14:paraId="09F560B7" w14:textId="77777777" w:rsidR="00762E5F" w:rsidRDefault="00000000" w:rsidP="00B34B59">
            <w:pPr>
              <w:spacing w:after="0" w:line="360" w:lineRule="auto"/>
            </w:pPr>
            <w:r>
              <w:rPr>
                <w:sz w:val="20"/>
              </w:rPr>
              <w:t xml:space="preserve">Regresie </w:t>
            </w:r>
            <w:r>
              <w:rPr>
                <w:i/>
                <w:sz w:val="20"/>
              </w:rPr>
              <w:t>SSQ</w:t>
            </w:r>
            <w:r>
              <w:rPr>
                <w:sz w:val="20"/>
              </w:rPr>
              <w:t xml:space="preserve"> total</w:t>
            </w:r>
          </w:p>
        </w:tc>
        <w:tc>
          <w:tcPr>
            <w:tcW w:w="3312" w:type="dxa"/>
            <w:vAlign w:val="center"/>
          </w:tcPr>
          <w:p w14:paraId="258BF265" w14:textId="77777777" w:rsidR="00762E5F" w:rsidRDefault="00000000" w:rsidP="00B34B59">
            <w:pPr>
              <w:spacing w:after="0" w:line="360" w:lineRule="auto"/>
              <w:jc w:val="center"/>
            </w:pPr>
            <w:r>
              <w:rPr>
                <w:sz w:val="20"/>
              </w:rPr>
              <w:t>R2 = .50; Negative Effects beta = .711</w:t>
            </w:r>
          </w:p>
        </w:tc>
        <w:tc>
          <w:tcPr>
            <w:tcW w:w="3312" w:type="dxa"/>
            <w:vAlign w:val="center"/>
          </w:tcPr>
          <w:p w14:paraId="04DEE316" w14:textId="7F10C646" w:rsidR="00762E5F" w:rsidRPr="00D36412" w:rsidRDefault="00000000" w:rsidP="00B34B59">
            <w:pPr>
              <w:spacing w:after="0" w:line="360" w:lineRule="auto"/>
              <w:jc w:val="center"/>
              <w:rPr>
                <w:lang w:val="ro-RO"/>
              </w:rPr>
            </w:pPr>
            <w:r>
              <w:rPr>
                <w:sz w:val="20"/>
              </w:rPr>
              <w:t xml:space="preserve">efectele negative prezic puternic </w:t>
            </w:r>
            <w:r w:rsidR="00D36412">
              <w:rPr>
                <w:sz w:val="20"/>
              </w:rPr>
              <w:t>r</w:t>
            </w:r>
            <w:r w:rsidR="00D36412">
              <w:rPr>
                <w:sz w:val="20"/>
                <w:lang w:val="ro-RO"/>
              </w:rPr>
              <w:t>ăul de simulator</w:t>
            </w:r>
          </w:p>
        </w:tc>
      </w:tr>
    </w:tbl>
    <w:p w14:paraId="0FDAEEB0" w14:textId="77777777" w:rsidR="00762E5F" w:rsidRDefault="00762E5F" w:rsidP="00B34B59">
      <w:pPr>
        <w:spacing w:after="0" w:line="360" w:lineRule="auto"/>
      </w:pPr>
    </w:p>
    <w:p w14:paraId="56010B8F" w14:textId="77777777" w:rsidR="00D36412" w:rsidRDefault="00D36412" w:rsidP="00D36412">
      <w:pPr>
        <w:spacing w:after="0" w:line="360" w:lineRule="auto"/>
        <w:jc w:val="both"/>
      </w:pPr>
      <w:r w:rsidRPr="00D36412">
        <w:rPr>
          <w:b/>
          <w:bCs/>
        </w:rPr>
        <w:t>Tabel 5.</w:t>
      </w:r>
      <w:r>
        <w:t xml:space="preserve"> </w:t>
      </w:r>
      <w:r w:rsidRPr="00D36412">
        <w:rPr>
          <w:i/>
          <w:iCs/>
        </w:rPr>
        <w:t>Consistența internă a subscalelor ITC-SOPI</w:t>
      </w:r>
    </w:p>
    <w:p w14:paraId="01254CF0" w14:textId="77777777" w:rsidR="00D36412" w:rsidRDefault="00D36412" w:rsidP="00D36412">
      <w:pPr>
        <w:spacing w:after="0" w:line="360" w:lineRule="auto"/>
        <w:jc w:val="both"/>
      </w:pPr>
    </w:p>
    <w:tbl>
      <w:tblPr>
        <w:tblStyle w:val="TableGrid"/>
        <w:tblW w:w="0" w:type="auto"/>
        <w:jc w:val="center"/>
        <w:tblLook w:val="04A0" w:firstRow="1" w:lastRow="0" w:firstColumn="1" w:lastColumn="0" w:noHBand="0" w:noVBand="1"/>
      </w:tblPr>
      <w:tblGrid>
        <w:gridCol w:w="3176"/>
        <w:gridCol w:w="3100"/>
        <w:gridCol w:w="3120"/>
      </w:tblGrid>
      <w:tr w:rsidR="00D36412" w14:paraId="5EBC97FB" w14:textId="77777777" w:rsidTr="00311B99">
        <w:trPr>
          <w:cantSplit/>
          <w:jc w:val="center"/>
        </w:trPr>
        <w:tc>
          <w:tcPr>
            <w:tcW w:w="3312" w:type="dxa"/>
            <w:vAlign w:val="center"/>
          </w:tcPr>
          <w:p w14:paraId="0F053A74" w14:textId="77777777" w:rsidR="00D36412" w:rsidRDefault="00D36412" w:rsidP="00311B99">
            <w:pPr>
              <w:spacing w:after="0" w:line="360" w:lineRule="auto"/>
              <w:jc w:val="center"/>
            </w:pPr>
            <w:r>
              <w:rPr>
                <w:b/>
                <w:sz w:val="20"/>
              </w:rPr>
              <w:t xml:space="preserve">Subscala </w:t>
            </w:r>
            <w:r>
              <w:rPr>
                <w:b/>
                <w:i/>
                <w:sz w:val="20"/>
              </w:rPr>
              <w:t>ITC-SOPI</w:t>
            </w:r>
          </w:p>
        </w:tc>
        <w:tc>
          <w:tcPr>
            <w:tcW w:w="3312" w:type="dxa"/>
            <w:vAlign w:val="center"/>
          </w:tcPr>
          <w:p w14:paraId="56A02E83" w14:textId="77777777" w:rsidR="00D36412" w:rsidRDefault="00D36412" w:rsidP="00311B99">
            <w:pPr>
              <w:spacing w:after="0" w:line="360" w:lineRule="auto"/>
              <w:jc w:val="center"/>
            </w:pPr>
            <w:r>
              <w:rPr>
                <w:b/>
                <w:sz w:val="20"/>
              </w:rPr>
              <w:t>Alpha Cronbach</w:t>
            </w:r>
          </w:p>
        </w:tc>
        <w:tc>
          <w:tcPr>
            <w:tcW w:w="3312" w:type="dxa"/>
            <w:vAlign w:val="center"/>
          </w:tcPr>
          <w:p w14:paraId="5A2529AC" w14:textId="77777777" w:rsidR="00D36412" w:rsidRDefault="00D36412" w:rsidP="00311B99">
            <w:pPr>
              <w:spacing w:after="0" w:line="360" w:lineRule="auto"/>
              <w:jc w:val="center"/>
            </w:pPr>
            <w:r>
              <w:rPr>
                <w:b/>
                <w:sz w:val="20"/>
              </w:rPr>
              <w:t>Interpretare</w:t>
            </w:r>
          </w:p>
        </w:tc>
      </w:tr>
      <w:tr w:rsidR="00D36412" w14:paraId="60330756" w14:textId="77777777" w:rsidTr="00311B99">
        <w:trPr>
          <w:cantSplit/>
          <w:jc w:val="center"/>
        </w:trPr>
        <w:tc>
          <w:tcPr>
            <w:tcW w:w="3312" w:type="dxa"/>
            <w:vAlign w:val="center"/>
          </w:tcPr>
          <w:p w14:paraId="041F52A0" w14:textId="77777777" w:rsidR="00D36412" w:rsidRDefault="00D36412" w:rsidP="00311B99">
            <w:pPr>
              <w:spacing w:after="0" w:line="360" w:lineRule="auto"/>
            </w:pPr>
            <w:r>
              <w:rPr>
                <w:sz w:val="20"/>
              </w:rPr>
              <w:t>Sense of Physical Space</w:t>
            </w:r>
          </w:p>
        </w:tc>
        <w:tc>
          <w:tcPr>
            <w:tcW w:w="3312" w:type="dxa"/>
            <w:vAlign w:val="center"/>
          </w:tcPr>
          <w:p w14:paraId="40B180D1" w14:textId="77777777" w:rsidR="00D36412" w:rsidRDefault="00D36412" w:rsidP="00311B99">
            <w:pPr>
              <w:spacing w:after="0" w:line="360" w:lineRule="auto"/>
              <w:jc w:val="center"/>
            </w:pPr>
            <w:r>
              <w:rPr>
                <w:sz w:val="20"/>
              </w:rPr>
              <w:t>.893</w:t>
            </w:r>
          </w:p>
        </w:tc>
        <w:tc>
          <w:tcPr>
            <w:tcW w:w="3312" w:type="dxa"/>
            <w:vAlign w:val="center"/>
          </w:tcPr>
          <w:p w14:paraId="74A7B0B5" w14:textId="77777777" w:rsidR="00D36412" w:rsidRDefault="00D36412" w:rsidP="00311B99">
            <w:pPr>
              <w:spacing w:after="0" w:line="360" w:lineRule="auto"/>
              <w:jc w:val="center"/>
            </w:pPr>
            <w:r>
              <w:rPr>
                <w:sz w:val="20"/>
              </w:rPr>
              <w:t>fiabilitate excelentă</w:t>
            </w:r>
          </w:p>
        </w:tc>
      </w:tr>
      <w:tr w:rsidR="00D36412" w14:paraId="2C4F2949" w14:textId="77777777" w:rsidTr="00311B99">
        <w:trPr>
          <w:cantSplit/>
          <w:jc w:val="center"/>
        </w:trPr>
        <w:tc>
          <w:tcPr>
            <w:tcW w:w="3312" w:type="dxa"/>
            <w:vAlign w:val="center"/>
          </w:tcPr>
          <w:p w14:paraId="20AD6A8D" w14:textId="77777777" w:rsidR="00D36412" w:rsidRDefault="00D36412" w:rsidP="00311B99">
            <w:pPr>
              <w:spacing w:after="0" w:line="360" w:lineRule="auto"/>
            </w:pPr>
            <w:r>
              <w:rPr>
                <w:sz w:val="20"/>
              </w:rPr>
              <w:t>Engagement</w:t>
            </w:r>
          </w:p>
        </w:tc>
        <w:tc>
          <w:tcPr>
            <w:tcW w:w="3312" w:type="dxa"/>
            <w:vAlign w:val="center"/>
          </w:tcPr>
          <w:p w14:paraId="37DD63D0" w14:textId="77777777" w:rsidR="00D36412" w:rsidRDefault="00D36412" w:rsidP="00311B99">
            <w:pPr>
              <w:spacing w:after="0" w:line="360" w:lineRule="auto"/>
              <w:jc w:val="center"/>
            </w:pPr>
            <w:r>
              <w:rPr>
                <w:sz w:val="20"/>
              </w:rPr>
              <w:t>.805</w:t>
            </w:r>
          </w:p>
        </w:tc>
        <w:tc>
          <w:tcPr>
            <w:tcW w:w="3312" w:type="dxa"/>
            <w:vAlign w:val="center"/>
          </w:tcPr>
          <w:p w14:paraId="434AEC11" w14:textId="77777777" w:rsidR="00D36412" w:rsidRDefault="00D36412" w:rsidP="00311B99">
            <w:pPr>
              <w:spacing w:after="0" w:line="360" w:lineRule="auto"/>
              <w:jc w:val="center"/>
            </w:pPr>
            <w:r>
              <w:rPr>
                <w:sz w:val="20"/>
              </w:rPr>
              <w:t>fiabilitate bună</w:t>
            </w:r>
          </w:p>
        </w:tc>
      </w:tr>
      <w:tr w:rsidR="00D36412" w14:paraId="49160A7F" w14:textId="77777777" w:rsidTr="00311B99">
        <w:trPr>
          <w:cantSplit/>
          <w:jc w:val="center"/>
        </w:trPr>
        <w:tc>
          <w:tcPr>
            <w:tcW w:w="3312" w:type="dxa"/>
            <w:vAlign w:val="center"/>
          </w:tcPr>
          <w:p w14:paraId="73EF9894" w14:textId="77777777" w:rsidR="00D36412" w:rsidRDefault="00D36412" w:rsidP="00311B99">
            <w:pPr>
              <w:spacing w:after="0" w:line="360" w:lineRule="auto"/>
            </w:pPr>
            <w:r>
              <w:rPr>
                <w:sz w:val="20"/>
              </w:rPr>
              <w:t>Ecological Validity/Naturalness</w:t>
            </w:r>
          </w:p>
        </w:tc>
        <w:tc>
          <w:tcPr>
            <w:tcW w:w="3312" w:type="dxa"/>
            <w:vAlign w:val="center"/>
          </w:tcPr>
          <w:p w14:paraId="49BD5569" w14:textId="77777777" w:rsidR="00D36412" w:rsidRDefault="00D36412" w:rsidP="00311B99">
            <w:pPr>
              <w:spacing w:after="0" w:line="360" w:lineRule="auto"/>
              <w:jc w:val="center"/>
            </w:pPr>
            <w:r>
              <w:rPr>
                <w:sz w:val="20"/>
              </w:rPr>
              <w:t>.765</w:t>
            </w:r>
          </w:p>
        </w:tc>
        <w:tc>
          <w:tcPr>
            <w:tcW w:w="3312" w:type="dxa"/>
            <w:vAlign w:val="center"/>
          </w:tcPr>
          <w:p w14:paraId="7F82697E" w14:textId="77777777" w:rsidR="00D36412" w:rsidRDefault="00D36412" w:rsidP="00311B99">
            <w:pPr>
              <w:spacing w:after="0" w:line="360" w:lineRule="auto"/>
              <w:jc w:val="center"/>
            </w:pPr>
            <w:r>
              <w:rPr>
                <w:sz w:val="20"/>
              </w:rPr>
              <w:t>fiabilitate acceptabilă-bună</w:t>
            </w:r>
          </w:p>
        </w:tc>
      </w:tr>
      <w:tr w:rsidR="00D36412" w14:paraId="3284814A" w14:textId="77777777" w:rsidTr="00311B99">
        <w:trPr>
          <w:cantSplit/>
          <w:jc w:val="center"/>
        </w:trPr>
        <w:tc>
          <w:tcPr>
            <w:tcW w:w="3312" w:type="dxa"/>
            <w:vAlign w:val="center"/>
          </w:tcPr>
          <w:p w14:paraId="6D9D9090" w14:textId="77777777" w:rsidR="00D36412" w:rsidRDefault="00D36412" w:rsidP="00311B99">
            <w:pPr>
              <w:spacing w:after="0" w:line="360" w:lineRule="auto"/>
            </w:pPr>
            <w:r>
              <w:rPr>
                <w:sz w:val="20"/>
              </w:rPr>
              <w:t>Negative Effects</w:t>
            </w:r>
          </w:p>
        </w:tc>
        <w:tc>
          <w:tcPr>
            <w:tcW w:w="3312" w:type="dxa"/>
            <w:vAlign w:val="center"/>
          </w:tcPr>
          <w:p w14:paraId="50BFC9C4" w14:textId="77777777" w:rsidR="00D36412" w:rsidRDefault="00D36412" w:rsidP="00311B99">
            <w:pPr>
              <w:spacing w:after="0" w:line="360" w:lineRule="auto"/>
              <w:jc w:val="center"/>
            </w:pPr>
            <w:r>
              <w:rPr>
                <w:sz w:val="20"/>
              </w:rPr>
              <w:t>.819</w:t>
            </w:r>
          </w:p>
        </w:tc>
        <w:tc>
          <w:tcPr>
            <w:tcW w:w="3312" w:type="dxa"/>
            <w:vAlign w:val="center"/>
          </w:tcPr>
          <w:p w14:paraId="68AC3BF1" w14:textId="77777777" w:rsidR="00D36412" w:rsidRDefault="00D36412" w:rsidP="00311B99">
            <w:pPr>
              <w:spacing w:after="0" w:line="360" w:lineRule="auto"/>
              <w:jc w:val="center"/>
            </w:pPr>
            <w:r>
              <w:rPr>
                <w:sz w:val="20"/>
              </w:rPr>
              <w:t>fiabilitate bună</w:t>
            </w:r>
          </w:p>
        </w:tc>
      </w:tr>
    </w:tbl>
    <w:p w14:paraId="51A22F65" w14:textId="77777777" w:rsidR="00D36412" w:rsidRDefault="00D36412" w:rsidP="00B34B59">
      <w:pPr>
        <w:spacing w:after="0" w:line="360" w:lineRule="auto"/>
      </w:pPr>
    </w:p>
    <w:p w14:paraId="5D039301" w14:textId="77777777" w:rsidR="00762E5F" w:rsidRPr="00477604" w:rsidRDefault="00000000" w:rsidP="00B34B59">
      <w:pPr>
        <w:pStyle w:val="Heading3"/>
        <w:spacing w:after="0" w:line="360" w:lineRule="auto"/>
        <w:rPr>
          <w:color w:val="000000" w:themeColor="text1"/>
        </w:rPr>
      </w:pPr>
      <w:r w:rsidRPr="00477604">
        <w:rPr>
          <w:rFonts w:ascii="Times New Roman" w:eastAsia="Times New Roman" w:hAnsi="Times New Roman"/>
          <w:color w:val="000000" w:themeColor="text1"/>
        </w:rPr>
        <w:t>3.3.4. Discuții și concluzii</w:t>
      </w:r>
    </w:p>
    <w:p w14:paraId="6D2B68A0" w14:textId="0D43FEAF" w:rsidR="00762E5F" w:rsidRDefault="00D36412" w:rsidP="00B34B59">
      <w:pPr>
        <w:spacing w:after="0" w:line="360" w:lineRule="auto"/>
        <w:jc w:val="both"/>
      </w:pPr>
      <w:r>
        <w:tab/>
        <w:t xml:space="preserve">Studiul 3 a furnizat dovezi preliminare solide privind utilizarea versiunii românești a </w:t>
      </w:r>
      <w:r>
        <w:rPr>
          <w:i/>
        </w:rPr>
        <w:t>ITC-SOPI</w:t>
      </w:r>
      <w:r>
        <w:t xml:space="preserve"> </w:t>
      </w:r>
      <w:r w:rsidR="00D0484D">
        <w:t xml:space="preserve">(Lessiter et al., 2001) </w:t>
      </w:r>
      <w:r>
        <w:t>în cercetările VR</w:t>
      </w:r>
      <w:r w:rsidR="00602406">
        <w:t>.</w:t>
      </w:r>
      <w:r>
        <w:t xml:space="preserve"> Deși fit</w:t>
      </w:r>
      <w:r w:rsidR="00602406">
        <w:t>-</w:t>
      </w:r>
      <w:r>
        <w:t>ul global al modelului estimat prin ML a fost modest, rezultatele WLSMV, consistența internă ridicată și corelațiile convergente susțin structura conceptuală a instrumentului. În cazul instrumentelor psihologice multidimensionale cu mulți itemi, fit</w:t>
      </w:r>
      <w:r w:rsidR="00602406">
        <w:t>-</w:t>
      </w:r>
      <w:r>
        <w:t>ul perfect este rar, iar interpretarea trebuie să ia în considerare atât teoria instrumentului, cât și indicatorii de fiabilitate și validitate (Brown, 2015).</w:t>
      </w:r>
    </w:p>
    <w:p w14:paraId="3559A51B" w14:textId="048E348D" w:rsidR="00762E5F" w:rsidRDefault="00D0484D" w:rsidP="00B34B59">
      <w:pPr>
        <w:spacing w:after="0" w:line="360" w:lineRule="auto"/>
        <w:jc w:val="both"/>
      </w:pPr>
      <w:r>
        <w:tab/>
        <w:t>Decizia de a păstra versiunea completă cu 43 de itemi a fost justificată de faptul că reducerea itemilor (&lt; .40) nu a îmbunătățit substanțial modelul și ar fi putut limita comparabilitatea cu versiunea originală. Menținerea structurii complete permite utilizarea instrumentului în studii care urmăresc compararea rezultatelor între laboratoare și contexte media diferite.</w:t>
      </w:r>
    </w:p>
    <w:p w14:paraId="4B1FD4B3" w14:textId="172C3022" w:rsidR="00762E5F" w:rsidRDefault="00D0484D" w:rsidP="00B34B59">
      <w:pPr>
        <w:spacing w:after="0" w:line="360" w:lineRule="auto"/>
        <w:jc w:val="both"/>
      </w:pPr>
      <w:r>
        <w:tab/>
        <w:t xml:space="preserve">Corelațiile cu </w:t>
      </w:r>
      <w:r>
        <w:rPr>
          <w:i/>
        </w:rPr>
        <w:t>IPQ</w:t>
      </w:r>
      <w:r>
        <w:t xml:space="preserve"> au confirmat faptul că </w:t>
      </w:r>
      <w:r>
        <w:rPr>
          <w:i/>
        </w:rPr>
        <w:t>ITC-SOPI</w:t>
      </w:r>
      <w:r>
        <w:t xml:space="preserve"> surprinde dimensiuni</w:t>
      </w:r>
      <w:r w:rsidR="00477604">
        <w:t>le</w:t>
      </w:r>
      <w:r>
        <w:t xml:space="preserve"> centrale ale prezenței, în special componenta spațială (Lessiter et al., 2001; Schubert et al., 2001). În același timp, corelațiile puternice dintre subscala </w:t>
      </w:r>
      <w:r w:rsidRPr="00D0484D">
        <w:rPr>
          <w:i/>
          <w:iCs/>
        </w:rPr>
        <w:t>Negative Effects</w:t>
      </w:r>
      <w:r>
        <w:t xml:space="preserve"> și </w:t>
      </w:r>
      <w:r>
        <w:rPr>
          <w:i/>
        </w:rPr>
        <w:t>SSQ</w:t>
      </w:r>
      <w:r>
        <w:t xml:space="preserve"> au arătat că instrumentul poate surprinde și dimensiunea de disconfort a experienței VR (Kennedy et al., 1993; Lessiter et al., 2001). Această dublă funcție este relevantă pentru dezvoltarea și evaluarea aplicațiilor, deoarece o experiență VR poate fi imersivă și totuși inconfortabilă, iar ambele aspecte trebuie evaluate.</w:t>
      </w:r>
    </w:p>
    <w:p w14:paraId="1F2FB357" w14:textId="153F413A" w:rsidR="00762E5F" w:rsidRDefault="00D0484D" w:rsidP="00B34B59">
      <w:pPr>
        <w:spacing w:after="0" w:line="360" w:lineRule="auto"/>
        <w:jc w:val="both"/>
      </w:pPr>
      <w:r>
        <w:tab/>
        <w:t>Principalele limitări ale studiului sunt colectarea datelor la un singur moment temporal, lipsa evaluării test-retest, absența unei etape pilot formale pentru validitatea aparentă, predominanța femeilor în eșantion și lipsa datelor privind vârsta. Cercetările viitoare ar trebui să testeze stabilitatea scorurilor, invarianța de măsurare în funcție de gen și vârstă și utilizarea instrumentului în contexte VR variate. În cadrul tezei, acest studiu a furnizat instrumentul necesar pentru evaluarea prezenței în Studiul 4.</w:t>
      </w:r>
    </w:p>
    <w:p w14:paraId="03FFE20E" w14:textId="77777777" w:rsidR="00762E5F" w:rsidRDefault="00000000" w:rsidP="00B34B59">
      <w:pPr>
        <w:spacing w:after="0" w:line="360" w:lineRule="auto"/>
      </w:pPr>
      <w:r>
        <w:br w:type="page"/>
      </w:r>
    </w:p>
    <w:p w14:paraId="0A8FF793" w14:textId="196D56C8" w:rsidR="00762E5F" w:rsidRPr="00477604" w:rsidRDefault="00000000" w:rsidP="00B34B59">
      <w:pPr>
        <w:pStyle w:val="Heading2"/>
        <w:spacing w:after="0" w:line="360" w:lineRule="auto"/>
        <w:jc w:val="both"/>
        <w:rPr>
          <w:color w:val="000000" w:themeColor="text1"/>
        </w:rPr>
      </w:pPr>
      <w:r w:rsidRPr="00477604">
        <w:rPr>
          <w:rFonts w:ascii="Times New Roman" w:eastAsia="Times New Roman" w:hAnsi="Times New Roman"/>
          <w:color w:val="000000" w:themeColor="text1"/>
        </w:rPr>
        <w:t>3.4. Studiul 4. Training</w:t>
      </w:r>
      <w:r w:rsidR="00D0484D">
        <w:rPr>
          <w:rFonts w:ascii="Times New Roman" w:eastAsia="Times New Roman" w:hAnsi="Times New Roman"/>
          <w:color w:val="000000" w:themeColor="text1"/>
        </w:rPr>
        <w:t>-ul</w:t>
      </w:r>
      <w:r w:rsidRPr="00477604">
        <w:rPr>
          <w:rFonts w:ascii="Times New Roman" w:eastAsia="Times New Roman" w:hAnsi="Times New Roman"/>
          <w:color w:val="000000" w:themeColor="text1"/>
        </w:rPr>
        <w:t xml:space="preserve"> bazat pe realitate</w:t>
      </w:r>
      <w:r w:rsidR="00D0484D">
        <w:rPr>
          <w:rFonts w:ascii="Times New Roman" w:eastAsia="Times New Roman" w:hAnsi="Times New Roman"/>
          <w:color w:val="000000" w:themeColor="text1"/>
        </w:rPr>
        <w:t>a</w:t>
      </w:r>
      <w:r w:rsidRPr="00477604">
        <w:rPr>
          <w:rFonts w:ascii="Times New Roman" w:eastAsia="Times New Roman" w:hAnsi="Times New Roman"/>
          <w:color w:val="000000" w:themeColor="text1"/>
        </w:rPr>
        <w:t xml:space="preserve"> virtuală pentru dezvoltarea abilităților  relație</w:t>
      </w:r>
      <w:r w:rsidR="00D0484D">
        <w:rPr>
          <w:rFonts w:ascii="Times New Roman" w:eastAsia="Times New Roman" w:hAnsi="Times New Roman"/>
          <w:color w:val="000000" w:themeColor="text1"/>
        </w:rPr>
        <w:t>i</w:t>
      </w:r>
      <w:r w:rsidRPr="00477604">
        <w:rPr>
          <w:rFonts w:ascii="Times New Roman" w:eastAsia="Times New Roman" w:hAnsi="Times New Roman"/>
          <w:color w:val="000000" w:themeColor="text1"/>
        </w:rPr>
        <w:t xml:space="preserve"> terapeutic</w:t>
      </w:r>
      <w:r w:rsidR="00B56470">
        <w:rPr>
          <w:rFonts w:ascii="Times New Roman" w:eastAsia="Times New Roman" w:hAnsi="Times New Roman"/>
          <w:color w:val="000000" w:themeColor="text1"/>
        </w:rPr>
        <w:t>e</w:t>
      </w:r>
      <w:r w:rsidRPr="00477604">
        <w:rPr>
          <w:rFonts w:ascii="Times New Roman" w:eastAsia="Times New Roman" w:hAnsi="Times New Roman"/>
          <w:color w:val="000000" w:themeColor="text1"/>
        </w:rPr>
        <w:t xml:space="preserve"> la viitorii psihoterapeuți: studiu pilot randomizat controlat</w:t>
      </w:r>
    </w:p>
    <w:p w14:paraId="501976A0" w14:textId="77777777" w:rsidR="00762E5F" w:rsidRPr="00477604" w:rsidRDefault="00000000" w:rsidP="00B34B59">
      <w:pPr>
        <w:pStyle w:val="Heading3"/>
        <w:spacing w:after="0" w:line="360" w:lineRule="auto"/>
        <w:rPr>
          <w:color w:val="000000" w:themeColor="text1"/>
        </w:rPr>
      </w:pPr>
      <w:r w:rsidRPr="00477604">
        <w:rPr>
          <w:rFonts w:ascii="Times New Roman" w:eastAsia="Times New Roman" w:hAnsi="Times New Roman"/>
          <w:color w:val="000000" w:themeColor="text1"/>
        </w:rPr>
        <w:t>3.4.1. Introducere</w:t>
      </w:r>
    </w:p>
    <w:p w14:paraId="7BE8C91D" w14:textId="64A647A7" w:rsidR="00762E5F" w:rsidRDefault="00C47ABF" w:rsidP="00B34B59">
      <w:pPr>
        <w:spacing w:after="0" w:line="360" w:lineRule="auto"/>
        <w:jc w:val="both"/>
      </w:pPr>
      <w:r>
        <w:tab/>
        <w:t xml:space="preserve">Studiul 4 a reprezentat etapa de testare controlată a aplicației </w:t>
      </w:r>
      <w:r>
        <w:rPr>
          <w:i/>
        </w:rPr>
        <w:t>Future Psychotherapists</w:t>
      </w:r>
      <w:r>
        <w:t>. După ce Studiul 2 a arătat că aplicația este fezabilă și utilizabilă (Cristolțan, 2026a), iar Studiul 3 a furnizat un instrument românesc pentru măsurarea prezenței (Cristolțan, 2026b), a fost necesară examinarea eficacității aplicației într-un design randomizat controlat. Cercetarea s-a concentrat asupra unor rezultate direct relevante pentru formarea psihoterapeuților: alianța terapeutică, empatia, autoeficacitatea terapeutică și afectul pozitiv.</w:t>
      </w:r>
    </w:p>
    <w:p w14:paraId="2C785A71" w14:textId="5A17B865" w:rsidR="00762E5F" w:rsidRDefault="00C47ABF" w:rsidP="00B34B59">
      <w:pPr>
        <w:spacing w:after="0" w:line="360" w:lineRule="auto"/>
        <w:jc w:val="both"/>
      </w:pPr>
      <w:r>
        <w:tab/>
        <w:t>Alegerea acestor rezultate a fost justificată de literatura psihoterapeutică.</w:t>
      </w:r>
      <w:r w:rsidR="00477604">
        <w:t xml:space="preserve"> At</w:t>
      </w:r>
      <w:r w:rsidR="00477604">
        <w:rPr>
          <w:lang w:val="ro-RO"/>
        </w:rPr>
        <w:t>ât</w:t>
      </w:r>
      <w:r>
        <w:t xml:space="preserve"> </w:t>
      </w:r>
      <w:r w:rsidR="00477604">
        <w:t>e</w:t>
      </w:r>
      <w:r>
        <w:t>mpatia</w:t>
      </w:r>
      <w:r w:rsidR="00477604">
        <w:t>, cât și alianța terapeutică</w:t>
      </w:r>
      <w:r>
        <w:t xml:space="preserve"> </w:t>
      </w:r>
      <w:r w:rsidR="00477604">
        <w:t>au fost asociate</w:t>
      </w:r>
      <w:r>
        <w:t xml:space="preserve"> cu rezultatele psihoterapiei (Elliott et al., 2018</w:t>
      </w:r>
      <w:r w:rsidR="00477604">
        <w:t xml:space="preserve">, Flückiger et al., 2018). </w:t>
      </w:r>
      <w:r>
        <w:t>Afectul pozitiv a fost inclus ca rezultat secundar, având în vedere concluziile Studiului 1 și importanța experienței afective în contextul învățării</w:t>
      </w:r>
      <w:r w:rsidR="00477604">
        <w:t>. De asemenea, tot ca rezultat secundar, studiul de față acordă atenție și autoeficacității terapeutului după antrenamentul în VR al participanților.</w:t>
      </w:r>
    </w:p>
    <w:p w14:paraId="20327319" w14:textId="23565524" w:rsidR="00762E5F" w:rsidRDefault="00C47ABF" w:rsidP="00B34B59">
      <w:pPr>
        <w:spacing w:after="0" w:line="360" w:lineRule="auto"/>
        <w:jc w:val="both"/>
      </w:pPr>
      <w:r>
        <w:tab/>
        <w:t xml:space="preserve">Condiția de control aleasă a fost o experiență VR activă de tip natură, pentru a controla efectele nespecifice ale expunerii la realitate virtuală. Această alegere a fost relevantă, deoarece mediile naturale virtuale pot influența răspunsurile afective (Bolouki, 2024; Mostajeran et al., 2023). Astfel, diferențele dintre grupuri puteau fi atribuite mai plauzibil conținutului specific al aplicației </w:t>
      </w:r>
      <w:r>
        <w:rPr>
          <w:i/>
        </w:rPr>
        <w:t>Future Psychotherapists</w:t>
      </w:r>
      <w:r>
        <w:t>, nu doar noutății, imersiunii sau plăcerii generale asociate cu experiența VR.</w:t>
      </w:r>
    </w:p>
    <w:p w14:paraId="4A765BF3" w14:textId="77777777" w:rsidR="00762E5F" w:rsidRPr="005430EF" w:rsidRDefault="00000000" w:rsidP="00B34B59">
      <w:pPr>
        <w:pStyle w:val="Heading3"/>
        <w:spacing w:after="0" w:line="360" w:lineRule="auto"/>
        <w:rPr>
          <w:color w:val="000000" w:themeColor="text1"/>
        </w:rPr>
      </w:pPr>
      <w:r w:rsidRPr="005430EF">
        <w:rPr>
          <w:rFonts w:ascii="Times New Roman" w:eastAsia="Times New Roman" w:hAnsi="Times New Roman"/>
          <w:color w:val="000000" w:themeColor="text1"/>
        </w:rPr>
        <w:t>3.4.2. Metode</w:t>
      </w:r>
    </w:p>
    <w:p w14:paraId="39B25943" w14:textId="08F9554D" w:rsidR="00762E5F" w:rsidRDefault="00C47ABF" w:rsidP="00B34B59">
      <w:pPr>
        <w:spacing w:after="0" w:line="360" w:lineRule="auto"/>
        <w:jc w:val="both"/>
      </w:pPr>
      <w:r>
        <w:tab/>
        <w:t xml:space="preserve">Studiul a utilizat un design randomizat controlat cu două condiții paralele: intervenția </w:t>
      </w:r>
      <w:r>
        <w:rPr>
          <w:i/>
        </w:rPr>
        <w:t>Future Psychotherapists</w:t>
      </w:r>
      <w:r>
        <w:t xml:space="preserve"> și o condiție activă de control VR, </w:t>
      </w:r>
      <w:r w:rsidRPr="00C47ABF">
        <w:rPr>
          <w:i/>
          <w:iCs/>
        </w:rPr>
        <w:t>Nature Treks VR</w:t>
      </w:r>
      <w:r>
        <w:t>. Design-ul randomizat controlat permite examinarea diferențelor dintre grupuri în condiții metodologice mai riguroase (Schulz et al., 2010). Rezultatele au fost evaluate la două momente: T0, înainte de intervenție, și T1, imediat după intervenție. Alianța terapeutică, empatia de stare, autoeficacitatea terapeutică și afectul pozitiv au fost măsurate la ambele momente, iar prezența a fost evaluată doar post-intervenție și analizată ca potențial moderator.</w:t>
      </w:r>
    </w:p>
    <w:p w14:paraId="0A172CF8" w14:textId="12A6E5DE" w:rsidR="00762E5F" w:rsidRDefault="00C47ABF" w:rsidP="00B34B59">
      <w:pPr>
        <w:spacing w:after="0" w:line="360" w:lineRule="auto"/>
        <w:jc w:val="both"/>
      </w:pPr>
      <w:r>
        <w:tab/>
        <w:t>Eșantionul a inclus 40 de studenți la psihologie, recrutați din cadrul Facultății de Psihologie și Științe ale Educației, Universitatea Babeș-Bolyai, și prin Cristolțan Virtual Lab for Future &amp; Novice Psychotherapists. Dintre cele 79 de persoane care și-au exprimat interesul, 40 au fost înscrise și randomizate: 20 în grupul de intervenție și 20 în grupul de control. Eșantionul final a inclus 36 de femei și 4 bărbați. Participanții trebuiau să fie înscriși într-un program de psihologie și să fi avut expunere anterioară la interacțiuni clinice prin activități de practică sau jocuri de rol universitare.</w:t>
      </w:r>
    </w:p>
    <w:p w14:paraId="3624E077" w14:textId="00F36CDB" w:rsidR="00762E5F" w:rsidRDefault="00256723" w:rsidP="00B34B59">
      <w:pPr>
        <w:spacing w:after="0" w:line="360" w:lineRule="auto"/>
        <w:jc w:val="both"/>
      </w:pPr>
      <w:r>
        <w:tab/>
        <w:t xml:space="preserve">Randomizarea a fost realizată cu ajutorul platformei Sealed Envelope. Participanții au semnat consimțământul informat și formularul GDPR, după care au fost alocați uneia dintre condiții. Înaintea sarcinii VR, participanții au fost rugați să își imagineze o ședință de psihoterapie sau un joc de rol, apoi au completat chestionarele de bază: </w:t>
      </w:r>
      <w:r w:rsidRPr="00256723">
        <w:rPr>
          <w:i/>
          <w:iCs/>
        </w:rPr>
        <w:t>Therapist Self-Efficacy Scale</w:t>
      </w:r>
      <w:r w:rsidRPr="00256723">
        <w:rPr>
          <w:i/>
        </w:rPr>
        <w:t xml:space="preserve"> (Gori et al., 2022), </w:t>
      </w:r>
      <w:r w:rsidRPr="00256723">
        <w:rPr>
          <w:i/>
          <w:iCs/>
        </w:rPr>
        <w:t>Working Alliance Inventory – Short Revised</w:t>
      </w:r>
      <w:r w:rsidRPr="00256723">
        <w:rPr>
          <w:i/>
        </w:rPr>
        <w:t xml:space="preserve"> (Hatcher &amp; Gillaspy, 2006</w:t>
      </w:r>
      <w:r w:rsidR="00525DC0">
        <w:rPr>
          <w:i/>
        </w:rPr>
        <w:t xml:space="preserve">; </w:t>
      </w:r>
      <w:r w:rsidR="00525DC0" w:rsidRPr="00525DC0">
        <w:rPr>
          <w:i/>
        </w:rPr>
        <w:t>Hatcher et al., 2020</w:t>
      </w:r>
      <w:r w:rsidRPr="00256723">
        <w:rPr>
          <w:i/>
        </w:rPr>
        <w:t xml:space="preserve">), </w:t>
      </w:r>
      <w:r w:rsidRPr="00256723">
        <w:rPr>
          <w:i/>
          <w:iCs/>
        </w:rPr>
        <w:t>PANAS</w:t>
      </w:r>
      <w:r w:rsidRPr="00256723">
        <w:rPr>
          <w:i/>
        </w:rPr>
        <w:t xml:space="preserve"> (Watson et al., 1988) și </w:t>
      </w:r>
      <w:r w:rsidRPr="00256723">
        <w:rPr>
          <w:i/>
          <w:iCs/>
        </w:rPr>
        <w:t>State Empathy Scale</w:t>
      </w:r>
      <w:r w:rsidRPr="00256723">
        <w:rPr>
          <w:i/>
        </w:rPr>
        <w:t xml:space="preserve"> (Shen, 2010). După sarcina VR, au completat aceleași chestionare, plus varianta românească a </w:t>
      </w:r>
      <w:r w:rsidRPr="00256723">
        <w:rPr>
          <w:i/>
          <w:iCs/>
        </w:rPr>
        <w:t>ITC-SOPI</w:t>
      </w:r>
      <w:r w:rsidRPr="00256723">
        <w:rPr>
          <w:i/>
        </w:rPr>
        <w:t xml:space="preserve"> (Lessiter et al., 2001; Cristolțan, 2026b)</w:t>
      </w:r>
      <w:r>
        <w:t>. Analizele statistice au fost realizate în JASP (JASP Team, 2023).</w:t>
      </w:r>
    </w:p>
    <w:p w14:paraId="3FC3FBD0" w14:textId="2B835C2E" w:rsidR="00762E5F" w:rsidRDefault="00256723" w:rsidP="00B34B59">
      <w:pPr>
        <w:spacing w:after="0" w:line="360" w:lineRule="auto"/>
        <w:jc w:val="both"/>
      </w:pPr>
      <w:r>
        <w:tab/>
        <w:t xml:space="preserve">Participanții din grupul de intervenție au utilizat aplicația </w:t>
      </w:r>
      <w:r>
        <w:rPr>
          <w:i/>
        </w:rPr>
        <w:t>Future Psychotherapists</w:t>
      </w:r>
      <w:r>
        <w:t xml:space="preserve"> printr-un headset Meta Quest 2 (Meta Platforms, Inc., 2020). Scenariul simula o ședință individuală cu un client virtual care prezenta dificultăți depresive ușoare și probleme relaționale. Training-ul conținea 16 puncte decizionale, dintre care 9 focalizate pe empatie și 7 pe construirea alianței terapeutice (Cristolțan, 2026a). La final, utilizatorii primeau feedback de performanță și puteau revizui alegerile incorecte. Expunerea a durat aproximativ 15-20 de minute.</w:t>
      </w:r>
    </w:p>
    <w:p w14:paraId="5CA03872" w14:textId="69740B3A" w:rsidR="00762E5F" w:rsidRDefault="00256723" w:rsidP="00B34B59">
      <w:pPr>
        <w:spacing w:after="0" w:line="360" w:lineRule="auto"/>
        <w:jc w:val="both"/>
      </w:pPr>
      <w:r>
        <w:tab/>
        <w:t xml:space="preserve">Participanții din grupul de control au parcurs o experiență imersivă de explorare a naturii virtuale prin </w:t>
      </w:r>
      <w:r w:rsidRPr="00256723">
        <w:rPr>
          <w:i/>
          <w:iCs/>
        </w:rPr>
        <w:t>Nature Treks VR</w:t>
      </w:r>
      <w:r>
        <w:t>. Această condiție a fost aleasă pentru a controla efectele generale ale expunerii VR, precum noutatea, imersiunea și posibilul efect afectiv pozitiv al mediilor naturale virtuale (Bolouki, 2024; Mostajeran et al., 2023). Durata expunerii a fost similară cu cea a intervenției.</w:t>
      </w:r>
    </w:p>
    <w:p w14:paraId="09A25E1C" w14:textId="56AE2848" w:rsidR="00762E5F" w:rsidRDefault="00256723" w:rsidP="00B34B59">
      <w:pPr>
        <w:spacing w:after="0" w:line="360" w:lineRule="auto"/>
        <w:jc w:val="both"/>
      </w:pPr>
      <w:r>
        <w:tab/>
        <w:t xml:space="preserve">Analizele statistice au fost realizate în JASP (JASP Team, 2023). Pentru fiecare rezultat, a fost utilizată o ANOVA mixtă 2 x 2, cu Time (T0 vs. T1) ca factor intra-subiect și Group (intervenție vs. control) ca factor inter-subiect. Testul principal a fost interacțiunea Time x Group, care indică dacă schimbarea de la pre-test la post-test diferă între grupuri. Pentru rezultatele la care s-au observat diferențe între grupuri, au fost realizate analize de moderare cu subscalele </w:t>
      </w:r>
      <w:r>
        <w:rPr>
          <w:i/>
        </w:rPr>
        <w:t>ITC-SOPI</w:t>
      </w:r>
      <w:r>
        <w:t>.</w:t>
      </w:r>
    </w:p>
    <w:p w14:paraId="350112D7" w14:textId="77777777" w:rsidR="00762E5F" w:rsidRPr="005430EF" w:rsidRDefault="00000000" w:rsidP="00B34B59">
      <w:pPr>
        <w:pStyle w:val="Heading3"/>
        <w:spacing w:after="0" w:line="360" w:lineRule="auto"/>
        <w:rPr>
          <w:color w:val="000000" w:themeColor="text1"/>
        </w:rPr>
      </w:pPr>
      <w:r w:rsidRPr="005430EF">
        <w:rPr>
          <w:rFonts w:ascii="Times New Roman" w:eastAsia="Times New Roman" w:hAnsi="Times New Roman"/>
          <w:color w:val="000000" w:themeColor="text1"/>
        </w:rPr>
        <w:t>3.4.3. Rezultate</w:t>
      </w:r>
    </w:p>
    <w:p w14:paraId="053CA491" w14:textId="724C4398" w:rsidR="00762E5F" w:rsidRDefault="00256723" w:rsidP="00B34B59">
      <w:pPr>
        <w:spacing w:after="0" w:line="360" w:lineRule="auto"/>
        <w:jc w:val="both"/>
      </w:pPr>
      <w:r>
        <w:tab/>
        <w:t xml:space="preserve">Rezultatele ANOVA au arătat interacțiuni Time x Group semnificative pentru dimensiunea </w:t>
      </w:r>
      <w:r w:rsidRPr="00256723">
        <w:rPr>
          <w:i/>
          <w:iCs/>
        </w:rPr>
        <w:t>Task</w:t>
      </w:r>
      <w:r>
        <w:t xml:space="preserve"> a alianței terapeutice, F(1, 38) = 9,75, p = .003, eta pătrat = .048, pentru empatia cognitivă, F(1, 38) = 5,19, p = .028, eta pătrat = .023, pentru autoeficacitatea terapeutică, F(1, 38) = 11,23, p = .002, eta pătrat = .029, și pentru afectul pozitiv, F(1, 38) = 4,20, p = .047, eta pătrat = .018. Aceste rezultate indică faptul că participanții din grupul de intervenție au avut creșteri mai mari decât cei din grupul de control la aceste variabile.</w:t>
      </w:r>
    </w:p>
    <w:p w14:paraId="0281F5B8" w14:textId="2A9B34CF" w:rsidR="00762E5F" w:rsidRDefault="00000000" w:rsidP="00B34B59">
      <w:pPr>
        <w:spacing w:after="0" w:line="360" w:lineRule="auto"/>
        <w:jc w:val="both"/>
      </w:pPr>
      <w:r>
        <w:t xml:space="preserve">Nu au fost observate interacțiuni semnificative pentru dimensiunile </w:t>
      </w:r>
      <w:r w:rsidRPr="00256723">
        <w:rPr>
          <w:i/>
          <w:iCs/>
        </w:rPr>
        <w:t>Goal și Bond</w:t>
      </w:r>
      <w:r>
        <w:t xml:space="preserve"> ale alianței terapeutice, nici pentru empatia afectivă sau empatia asociativă. Acest pattern sugerează că o singură sesiune VR pare mai eficientă pentru componente relaționale mai direct legate de înțelegerea sarcinii și de perspectiva cognitivă asupra clientului decât pentru dimensiuni care necesită timp, negociere și dezvoltarea unei conexiuni interpersonale mai profunde</w:t>
      </w:r>
      <w:r w:rsidR="005430EF">
        <w:t xml:space="preserve"> (Tabelul 6).</w:t>
      </w:r>
    </w:p>
    <w:p w14:paraId="4EBC394F" w14:textId="1D91121A" w:rsidR="00762E5F" w:rsidRDefault="00256723" w:rsidP="00B34B59">
      <w:pPr>
        <w:spacing w:after="0" w:line="360" w:lineRule="auto"/>
        <w:jc w:val="both"/>
      </w:pPr>
      <w:r>
        <w:tab/>
        <w:t xml:space="preserve">Analizele de moderare au testat dacă efectele intervenției asupra empatiei cognitive și asupra dimensiunii Task a alianței terapeutice diferă în funcție de subscalele </w:t>
      </w:r>
      <w:r>
        <w:rPr>
          <w:i/>
        </w:rPr>
        <w:t>ITC-SOPI</w:t>
      </w:r>
      <w:r>
        <w:t xml:space="preserve">: </w:t>
      </w:r>
      <w:r>
        <w:rPr>
          <w:i/>
          <w:iCs/>
        </w:rPr>
        <w:t>Spatial presence</w:t>
      </w:r>
      <w:r w:rsidRPr="00256723">
        <w:rPr>
          <w:i/>
          <w:iCs/>
        </w:rPr>
        <w:t xml:space="preserve">, </w:t>
      </w:r>
      <w:r>
        <w:rPr>
          <w:i/>
          <w:iCs/>
        </w:rPr>
        <w:t>E</w:t>
      </w:r>
      <w:r w:rsidRPr="00256723">
        <w:rPr>
          <w:i/>
          <w:iCs/>
        </w:rPr>
        <w:t xml:space="preserve">ngagement, </w:t>
      </w:r>
      <w:r>
        <w:rPr>
          <w:i/>
          <w:iCs/>
        </w:rPr>
        <w:t xml:space="preserve">Negative effects </w:t>
      </w:r>
      <w:r w:rsidRPr="00256723">
        <w:rPr>
          <w:i/>
          <w:iCs/>
        </w:rPr>
        <w:t xml:space="preserve">și </w:t>
      </w:r>
      <w:r>
        <w:rPr>
          <w:i/>
          <w:iCs/>
        </w:rPr>
        <w:t>Ecological Validity</w:t>
      </w:r>
      <w:r w:rsidRPr="00256723">
        <w:rPr>
          <w:i/>
          <w:iCs/>
        </w:rPr>
        <w:t>/naturalness</w:t>
      </w:r>
      <w:r>
        <w:t>. Niciuna dintre interacțiunile Group x Moderator nu a fost semnificativă. Astfel, prezența nu a moderat semnificativ efectele intervenției asupra acestor rezultate.</w:t>
      </w:r>
    </w:p>
    <w:p w14:paraId="25EF5EA6" w14:textId="3244CB68" w:rsidR="00762E5F" w:rsidRDefault="00256723" w:rsidP="00B34B59">
      <w:pPr>
        <w:spacing w:after="0" w:line="360" w:lineRule="auto"/>
        <w:jc w:val="both"/>
      </w:pPr>
      <w:r>
        <w:tab/>
        <w:t>Modelul explicativ a fost substanțial pentru empatia cognitivă, cu R2 între .501 și .514, și moderat pentru dimensiunea Task a alianței, cu R2 între .356 și .466. Totuși, aceste valori ale modelului nu au reflectat efecte de moderare ale prezenței, ci mai degrabă contribuția variabilelor incluse în regresii, inclusiv scorurile de bază.</w:t>
      </w:r>
    </w:p>
    <w:p w14:paraId="65BD07AE" w14:textId="77777777" w:rsidR="003B7C52" w:rsidRDefault="003B7C52" w:rsidP="00B34B59">
      <w:pPr>
        <w:spacing w:after="0" w:line="360" w:lineRule="auto"/>
        <w:jc w:val="both"/>
      </w:pPr>
    </w:p>
    <w:p w14:paraId="6C65C94F" w14:textId="3383CCA2" w:rsidR="003B7C52" w:rsidRDefault="00000000" w:rsidP="00B34B59">
      <w:pPr>
        <w:spacing w:after="0" w:line="360" w:lineRule="auto"/>
        <w:jc w:val="both"/>
        <w:rPr>
          <w:i/>
          <w:iCs/>
        </w:rPr>
      </w:pPr>
      <w:r w:rsidRPr="003B7C52">
        <w:rPr>
          <w:b/>
          <w:bCs/>
        </w:rPr>
        <w:t>Tabel 6.</w:t>
      </w:r>
      <w:r w:rsidR="003B7C52">
        <w:t xml:space="preserve"> </w:t>
      </w:r>
      <w:r w:rsidR="006F6F24" w:rsidRPr="006F6F24">
        <w:rPr>
          <w:i/>
          <w:iCs/>
        </w:rPr>
        <w:t>Interacțiunile Time × Group pentru rezultatele Studiului 4</w:t>
      </w:r>
    </w:p>
    <w:tbl>
      <w:tblPr>
        <w:tblStyle w:val="TableGrid"/>
        <w:tblW w:w="0" w:type="auto"/>
        <w:jc w:val="center"/>
        <w:tblLook w:val="04A0" w:firstRow="1" w:lastRow="0" w:firstColumn="1" w:lastColumn="0" w:noHBand="0" w:noVBand="1"/>
      </w:tblPr>
      <w:tblGrid>
        <w:gridCol w:w="2375"/>
        <w:gridCol w:w="2368"/>
        <w:gridCol w:w="2283"/>
        <w:gridCol w:w="2370"/>
      </w:tblGrid>
      <w:tr w:rsidR="00762E5F" w14:paraId="329340CA" w14:textId="77777777">
        <w:trPr>
          <w:cantSplit/>
          <w:jc w:val="center"/>
        </w:trPr>
        <w:tc>
          <w:tcPr>
            <w:tcW w:w="2484" w:type="dxa"/>
            <w:vAlign w:val="center"/>
          </w:tcPr>
          <w:p w14:paraId="32DC9295" w14:textId="77777777" w:rsidR="00762E5F" w:rsidRDefault="00000000" w:rsidP="00B34B59">
            <w:pPr>
              <w:spacing w:after="0" w:line="360" w:lineRule="auto"/>
              <w:jc w:val="center"/>
            </w:pPr>
            <w:r>
              <w:rPr>
                <w:b/>
                <w:sz w:val="20"/>
              </w:rPr>
              <w:t>Rezultat</w:t>
            </w:r>
          </w:p>
        </w:tc>
        <w:tc>
          <w:tcPr>
            <w:tcW w:w="2484" w:type="dxa"/>
            <w:vAlign w:val="center"/>
          </w:tcPr>
          <w:p w14:paraId="52F03113" w14:textId="77777777" w:rsidR="00762E5F" w:rsidRDefault="00000000" w:rsidP="00B34B59">
            <w:pPr>
              <w:spacing w:after="0" w:line="360" w:lineRule="auto"/>
              <w:jc w:val="center"/>
            </w:pPr>
            <w:r>
              <w:rPr>
                <w:b/>
                <w:sz w:val="20"/>
              </w:rPr>
              <w:t>Interacțiune Time x Group</w:t>
            </w:r>
          </w:p>
        </w:tc>
        <w:tc>
          <w:tcPr>
            <w:tcW w:w="2484" w:type="dxa"/>
            <w:vAlign w:val="center"/>
          </w:tcPr>
          <w:p w14:paraId="639782A9" w14:textId="77777777" w:rsidR="00762E5F" w:rsidRDefault="00000000" w:rsidP="00B34B59">
            <w:pPr>
              <w:spacing w:after="0" w:line="360" w:lineRule="auto"/>
              <w:jc w:val="center"/>
            </w:pPr>
            <w:r>
              <w:rPr>
                <w:b/>
                <w:sz w:val="20"/>
              </w:rPr>
              <w:t>p</w:t>
            </w:r>
          </w:p>
        </w:tc>
        <w:tc>
          <w:tcPr>
            <w:tcW w:w="2484" w:type="dxa"/>
            <w:vAlign w:val="center"/>
          </w:tcPr>
          <w:p w14:paraId="467C88A7" w14:textId="77777777" w:rsidR="00762E5F" w:rsidRDefault="00000000" w:rsidP="00B34B59">
            <w:pPr>
              <w:spacing w:after="0" w:line="360" w:lineRule="auto"/>
              <w:jc w:val="center"/>
            </w:pPr>
            <w:r>
              <w:rPr>
                <w:b/>
                <w:sz w:val="20"/>
              </w:rPr>
              <w:t>Interpretare</w:t>
            </w:r>
          </w:p>
        </w:tc>
      </w:tr>
      <w:tr w:rsidR="00762E5F" w14:paraId="022CA1FF" w14:textId="77777777">
        <w:trPr>
          <w:cantSplit/>
          <w:jc w:val="center"/>
        </w:trPr>
        <w:tc>
          <w:tcPr>
            <w:tcW w:w="2484" w:type="dxa"/>
            <w:vAlign w:val="center"/>
          </w:tcPr>
          <w:p w14:paraId="56296238" w14:textId="77777777" w:rsidR="00762E5F" w:rsidRDefault="00000000" w:rsidP="00B34B59">
            <w:pPr>
              <w:spacing w:after="0" w:line="360" w:lineRule="auto"/>
            </w:pPr>
            <w:r>
              <w:rPr>
                <w:sz w:val="20"/>
              </w:rPr>
              <w:t>Alianță terapeutică - Task</w:t>
            </w:r>
          </w:p>
        </w:tc>
        <w:tc>
          <w:tcPr>
            <w:tcW w:w="2484" w:type="dxa"/>
            <w:vAlign w:val="center"/>
          </w:tcPr>
          <w:p w14:paraId="0CA9DA36" w14:textId="77777777" w:rsidR="00762E5F" w:rsidRDefault="00000000" w:rsidP="00B34B59">
            <w:pPr>
              <w:spacing w:after="0" w:line="360" w:lineRule="auto"/>
              <w:jc w:val="center"/>
            </w:pPr>
            <w:r>
              <w:rPr>
                <w:sz w:val="20"/>
              </w:rPr>
              <w:t>F(1,38)=9,75</w:t>
            </w:r>
          </w:p>
        </w:tc>
        <w:tc>
          <w:tcPr>
            <w:tcW w:w="2484" w:type="dxa"/>
            <w:vAlign w:val="center"/>
          </w:tcPr>
          <w:p w14:paraId="6B24F140" w14:textId="77777777" w:rsidR="00762E5F" w:rsidRDefault="00000000" w:rsidP="00B34B59">
            <w:pPr>
              <w:spacing w:after="0" w:line="360" w:lineRule="auto"/>
              <w:jc w:val="center"/>
            </w:pPr>
            <w:r>
              <w:rPr>
                <w:sz w:val="20"/>
              </w:rPr>
              <w:t>.003</w:t>
            </w:r>
          </w:p>
        </w:tc>
        <w:tc>
          <w:tcPr>
            <w:tcW w:w="2484" w:type="dxa"/>
            <w:vAlign w:val="center"/>
          </w:tcPr>
          <w:p w14:paraId="034827D4" w14:textId="77777777" w:rsidR="00762E5F" w:rsidRDefault="00000000" w:rsidP="00B34B59">
            <w:pPr>
              <w:spacing w:after="0" w:line="360" w:lineRule="auto"/>
              <w:jc w:val="center"/>
            </w:pPr>
            <w:r>
              <w:rPr>
                <w:sz w:val="20"/>
              </w:rPr>
              <w:t>creștere mai mare în intervenție</w:t>
            </w:r>
          </w:p>
        </w:tc>
      </w:tr>
      <w:tr w:rsidR="00762E5F" w14:paraId="2AB4C5D2" w14:textId="77777777">
        <w:trPr>
          <w:cantSplit/>
          <w:jc w:val="center"/>
        </w:trPr>
        <w:tc>
          <w:tcPr>
            <w:tcW w:w="2484" w:type="dxa"/>
            <w:vAlign w:val="center"/>
          </w:tcPr>
          <w:p w14:paraId="054F6D0A" w14:textId="77777777" w:rsidR="00762E5F" w:rsidRDefault="00000000" w:rsidP="00B34B59">
            <w:pPr>
              <w:spacing w:after="0" w:line="360" w:lineRule="auto"/>
            </w:pPr>
            <w:r>
              <w:rPr>
                <w:sz w:val="20"/>
              </w:rPr>
              <w:t>Alianță terapeutică - Goal</w:t>
            </w:r>
          </w:p>
        </w:tc>
        <w:tc>
          <w:tcPr>
            <w:tcW w:w="2484" w:type="dxa"/>
            <w:vAlign w:val="center"/>
          </w:tcPr>
          <w:p w14:paraId="5316C1FD" w14:textId="77777777" w:rsidR="00762E5F" w:rsidRDefault="00000000" w:rsidP="00B34B59">
            <w:pPr>
              <w:spacing w:after="0" w:line="360" w:lineRule="auto"/>
              <w:jc w:val="center"/>
            </w:pPr>
            <w:r>
              <w:rPr>
                <w:sz w:val="20"/>
              </w:rPr>
              <w:t>F(1,38)=0,36</w:t>
            </w:r>
          </w:p>
        </w:tc>
        <w:tc>
          <w:tcPr>
            <w:tcW w:w="2484" w:type="dxa"/>
            <w:vAlign w:val="center"/>
          </w:tcPr>
          <w:p w14:paraId="2B1CE350" w14:textId="77777777" w:rsidR="00762E5F" w:rsidRDefault="00000000" w:rsidP="00B34B59">
            <w:pPr>
              <w:spacing w:after="0" w:line="360" w:lineRule="auto"/>
              <w:jc w:val="center"/>
            </w:pPr>
            <w:r>
              <w:rPr>
                <w:sz w:val="20"/>
              </w:rPr>
              <w:t>.553</w:t>
            </w:r>
          </w:p>
        </w:tc>
        <w:tc>
          <w:tcPr>
            <w:tcW w:w="2484" w:type="dxa"/>
            <w:vAlign w:val="center"/>
          </w:tcPr>
          <w:p w14:paraId="0E493CF9" w14:textId="77777777" w:rsidR="00762E5F" w:rsidRDefault="00000000" w:rsidP="00B34B59">
            <w:pPr>
              <w:spacing w:after="0" w:line="360" w:lineRule="auto"/>
              <w:jc w:val="center"/>
            </w:pPr>
            <w:r>
              <w:rPr>
                <w:sz w:val="20"/>
              </w:rPr>
              <w:t>efect nesemnificativ</w:t>
            </w:r>
          </w:p>
        </w:tc>
      </w:tr>
      <w:tr w:rsidR="00762E5F" w14:paraId="61859BAE" w14:textId="77777777">
        <w:trPr>
          <w:cantSplit/>
          <w:jc w:val="center"/>
        </w:trPr>
        <w:tc>
          <w:tcPr>
            <w:tcW w:w="2484" w:type="dxa"/>
            <w:vAlign w:val="center"/>
          </w:tcPr>
          <w:p w14:paraId="7415C6F4" w14:textId="77777777" w:rsidR="00762E5F" w:rsidRDefault="00000000" w:rsidP="00B34B59">
            <w:pPr>
              <w:spacing w:after="0" w:line="360" w:lineRule="auto"/>
            </w:pPr>
            <w:r>
              <w:rPr>
                <w:sz w:val="20"/>
              </w:rPr>
              <w:t>Alianță terapeutică - Bond</w:t>
            </w:r>
          </w:p>
        </w:tc>
        <w:tc>
          <w:tcPr>
            <w:tcW w:w="2484" w:type="dxa"/>
            <w:vAlign w:val="center"/>
          </w:tcPr>
          <w:p w14:paraId="027E6B4A" w14:textId="77777777" w:rsidR="00762E5F" w:rsidRDefault="00000000" w:rsidP="00B34B59">
            <w:pPr>
              <w:spacing w:after="0" w:line="360" w:lineRule="auto"/>
              <w:jc w:val="center"/>
            </w:pPr>
            <w:r>
              <w:rPr>
                <w:sz w:val="20"/>
              </w:rPr>
              <w:t>F(1,38)=0,25</w:t>
            </w:r>
          </w:p>
        </w:tc>
        <w:tc>
          <w:tcPr>
            <w:tcW w:w="2484" w:type="dxa"/>
            <w:vAlign w:val="center"/>
          </w:tcPr>
          <w:p w14:paraId="46E6B80B" w14:textId="77777777" w:rsidR="00762E5F" w:rsidRDefault="00000000" w:rsidP="00B34B59">
            <w:pPr>
              <w:spacing w:after="0" w:line="360" w:lineRule="auto"/>
              <w:jc w:val="center"/>
            </w:pPr>
            <w:r>
              <w:rPr>
                <w:sz w:val="20"/>
              </w:rPr>
              <w:t>.622</w:t>
            </w:r>
          </w:p>
        </w:tc>
        <w:tc>
          <w:tcPr>
            <w:tcW w:w="2484" w:type="dxa"/>
            <w:vAlign w:val="center"/>
          </w:tcPr>
          <w:p w14:paraId="1C2F66C0" w14:textId="77777777" w:rsidR="00762E5F" w:rsidRDefault="00000000" w:rsidP="00B34B59">
            <w:pPr>
              <w:spacing w:after="0" w:line="360" w:lineRule="auto"/>
              <w:jc w:val="center"/>
            </w:pPr>
            <w:r>
              <w:rPr>
                <w:sz w:val="20"/>
              </w:rPr>
              <w:t>efect nesemnificativ</w:t>
            </w:r>
          </w:p>
        </w:tc>
      </w:tr>
      <w:tr w:rsidR="00762E5F" w14:paraId="0DC21729" w14:textId="77777777">
        <w:trPr>
          <w:cantSplit/>
          <w:jc w:val="center"/>
        </w:trPr>
        <w:tc>
          <w:tcPr>
            <w:tcW w:w="2484" w:type="dxa"/>
            <w:vAlign w:val="center"/>
          </w:tcPr>
          <w:p w14:paraId="5DB24A6F" w14:textId="77777777" w:rsidR="00762E5F" w:rsidRDefault="00000000" w:rsidP="00B34B59">
            <w:pPr>
              <w:spacing w:after="0" w:line="360" w:lineRule="auto"/>
            </w:pPr>
            <w:r>
              <w:rPr>
                <w:sz w:val="20"/>
              </w:rPr>
              <w:t>Empatie afectivă</w:t>
            </w:r>
          </w:p>
        </w:tc>
        <w:tc>
          <w:tcPr>
            <w:tcW w:w="2484" w:type="dxa"/>
            <w:vAlign w:val="center"/>
          </w:tcPr>
          <w:p w14:paraId="1BDE7791" w14:textId="77777777" w:rsidR="00762E5F" w:rsidRDefault="00000000" w:rsidP="00B34B59">
            <w:pPr>
              <w:spacing w:after="0" w:line="360" w:lineRule="auto"/>
              <w:jc w:val="center"/>
            </w:pPr>
            <w:r>
              <w:rPr>
                <w:sz w:val="20"/>
              </w:rPr>
              <w:t>F(1,38)=3,34</w:t>
            </w:r>
          </w:p>
        </w:tc>
        <w:tc>
          <w:tcPr>
            <w:tcW w:w="2484" w:type="dxa"/>
            <w:vAlign w:val="center"/>
          </w:tcPr>
          <w:p w14:paraId="409DB717" w14:textId="77777777" w:rsidR="00762E5F" w:rsidRDefault="00000000" w:rsidP="00B34B59">
            <w:pPr>
              <w:spacing w:after="0" w:line="360" w:lineRule="auto"/>
              <w:jc w:val="center"/>
            </w:pPr>
            <w:r>
              <w:rPr>
                <w:sz w:val="20"/>
              </w:rPr>
              <w:t>.076</w:t>
            </w:r>
          </w:p>
        </w:tc>
        <w:tc>
          <w:tcPr>
            <w:tcW w:w="2484" w:type="dxa"/>
            <w:vAlign w:val="center"/>
          </w:tcPr>
          <w:p w14:paraId="7D85B6C8" w14:textId="77777777" w:rsidR="00762E5F" w:rsidRDefault="00000000" w:rsidP="00B34B59">
            <w:pPr>
              <w:spacing w:after="0" w:line="360" w:lineRule="auto"/>
              <w:jc w:val="center"/>
            </w:pPr>
            <w:r>
              <w:rPr>
                <w:sz w:val="20"/>
              </w:rPr>
              <w:t>efect nesemnificativ</w:t>
            </w:r>
          </w:p>
        </w:tc>
      </w:tr>
      <w:tr w:rsidR="00762E5F" w14:paraId="30969D23" w14:textId="77777777">
        <w:trPr>
          <w:cantSplit/>
          <w:jc w:val="center"/>
        </w:trPr>
        <w:tc>
          <w:tcPr>
            <w:tcW w:w="2484" w:type="dxa"/>
            <w:vAlign w:val="center"/>
          </w:tcPr>
          <w:p w14:paraId="69FF4726" w14:textId="77777777" w:rsidR="00762E5F" w:rsidRDefault="00000000" w:rsidP="00B34B59">
            <w:pPr>
              <w:spacing w:after="0" w:line="360" w:lineRule="auto"/>
            </w:pPr>
            <w:r>
              <w:rPr>
                <w:sz w:val="20"/>
              </w:rPr>
              <w:t>Empatie cognitivă</w:t>
            </w:r>
          </w:p>
        </w:tc>
        <w:tc>
          <w:tcPr>
            <w:tcW w:w="2484" w:type="dxa"/>
            <w:vAlign w:val="center"/>
          </w:tcPr>
          <w:p w14:paraId="0159730C" w14:textId="77777777" w:rsidR="00762E5F" w:rsidRDefault="00000000" w:rsidP="00B34B59">
            <w:pPr>
              <w:spacing w:after="0" w:line="360" w:lineRule="auto"/>
              <w:jc w:val="center"/>
            </w:pPr>
            <w:r>
              <w:rPr>
                <w:sz w:val="20"/>
              </w:rPr>
              <w:t>F(1,38)=5,19</w:t>
            </w:r>
          </w:p>
        </w:tc>
        <w:tc>
          <w:tcPr>
            <w:tcW w:w="2484" w:type="dxa"/>
            <w:vAlign w:val="center"/>
          </w:tcPr>
          <w:p w14:paraId="5F9F3899" w14:textId="77777777" w:rsidR="00762E5F" w:rsidRDefault="00000000" w:rsidP="00B34B59">
            <w:pPr>
              <w:spacing w:after="0" w:line="360" w:lineRule="auto"/>
              <w:jc w:val="center"/>
            </w:pPr>
            <w:r>
              <w:rPr>
                <w:sz w:val="20"/>
              </w:rPr>
              <w:t>.028</w:t>
            </w:r>
          </w:p>
        </w:tc>
        <w:tc>
          <w:tcPr>
            <w:tcW w:w="2484" w:type="dxa"/>
            <w:vAlign w:val="center"/>
          </w:tcPr>
          <w:p w14:paraId="7A4B29FC" w14:textId="77777777" w:rsidR="00762E5F" w:rsidRDefault="00000000" w:rsidP="00B34B59">
            <w:pPr>
              <w:spacing w:after="0" w:line="360" w:lineRule="auto"/>
              <w:jc w:val="center"/>
            </w:pPr>
            <w:r>
              <w:rPr>
                <w:sz w:val="20"/>
              </w:rPr>
              <w:t>creștere mai mare în intervenție</w:t>
            </w:r>
          </w:p>
        </w:tc>
      </w:tr>
      <w:tr w:rsidR="00762E5F" w14:paraId="1958AC42" w14:textId="77777777">
        <w:trPr>
          <w:cantSplit/>
          <w:jc w:val="center"/>
        </w:trPr>
        <w:tc>
          <w:tcPr>
            <w:tcW w:w="2484" w:type="dxa"/>
            <w:vAlign w:val="center"/>
          </w:tcPr>
          <w:p w14:paraId="1D171378" w14:textId="77777777" w:rsidR="00762E5F" w:rsidRDefault="00000000" w:rsidP="00B34B59">
            <w:pPr>
              <w:spacing w:after="0" w:line="360" w:lineRule="auto"/>
            </w:pPr>
            <w:r>
              <w:rPr>
                <w:sz w:val="20"/>
              </w:rPr>
              <w:t>Empatie asociativă</w:t>
            </w:r>
          </w:p>
        </w:tc>
        <w:tc>
          <w:tcPr>
            <w:tcW w:w="2484" w:type="dxa"/>
            <w:vAlign w:val="center"/>
          </w:tcPr>
          <w:p w14:paraId="1952AE93" w14:textId="77777777" w:rsidR="00762E5F" w:rsidRDefault="00000000" w:rsidP="00B34B59">
            <w:pPr>
              <w:spacing w:after="0" w:line="360" w:lineRule="auto"/>
              <w:jc w:val="center"/>
            </w:pPr>
            <w:r>
              <w:rPr>
                <w:sz w:val="20"/>
              </w:rPr>
              <w:t>F(1,38)=2,28</w:t>
            </w:r>
          </w:p>
        </w:tc>
        <w:tc>
          <w:tcPr>
            <w:tcW w:w="2484" w:type="dxa"/>
            <w:vAlign w:val="center"/>
          </w:tcPr>
          <w:p w14:paraId="13FFF7ED" w14:textId="77777777" w:rsidR="00762E5F" w:rsidRDefault="00000000" w:rsidP="00B34B59">
            <w:pPr>
              <w:spacing w:after="0" w:line="360" w:lineRule="auto"/>
              <w:jc w:val="center"/>
            </w:pPr>
            <w:r>
              <w:rPr>
                <w:sz w:val="20"/>
              </w:rPr>
              <w:t>.139</w:t>
            </w:r>
          </w:p>
        </w:tc>
        <w:tc>
          <w:tcPr>
            <w:tcW w:w="2484" w:type="dxa"/>
            <w:vAlign w:val="center"/>
          </w:tcPr>
          <w:p w14:paraId="5DD6ED41" w14:textId="77777777" w:rsidR="00762E5F" w:rsidRDefault="00000000" w:rsidP="00B34B59">
            <w:pPr>
              <w:spacing w:after="0" w:line="360" w:lineRule="auto"/>
              <w:jc w:val="center"/>
            </w:pPr>
            <w:r>
              <w:rPr>
                <w:sz w:val="20"/>
              </w:rPr>
              <w:t>efect nesemnificativ</w:t>
            </w:r>
          </w:p>
        </w:tc>
      </w:tr>
      <w:tr w:rsidR="00762E5F" w14:paraId="70CC5E87" w14:textId="77777777">
        <w:trPr>
          <w:cantSplit/>
          <w:jc w:val="center"/>
        </w:trPr>
        <w:tc>
          <w:tcPr>
            <w:tcW w:w="2484" w:type="dxa"/>
            <w:vAlign w:val="center"/>
          </w:tcPr>
          <w:p w14:paraId="79D52B0D" w14:textId="77777777" w:rsidR="00762E5F" w:rsidRDefault="00000000" w:rsidP="00B34B59">
            <w:pPr>
              <w:spacing w:after="0" w:line="360" w:lineRule="auto"/>
            </w:pPr>
            <w:r>
              <w:rPr>
                <w:sz w:val="20"/>
              </w:rPr>
              <w:t>Autoeficacitate terapeutică</w:t>
            </w:r>
          </w:p>
        </w:tc>
        <w:tc>
          <w:tcPr>
            <w:tcW w:w="2484" w:type="dxa"/>
            <w:vAlign w:val="center"/>
          </w:tcPr>
          <w:p w14:paraId="01E19214" w14:textId="77777777" w:rsidR="00762E5F" w:rsidRDefault="00000000" w:rsidP="00B34B59">
            <w:pPr>
              <w:spacing w:after="0" w:line="360" w:lineRule="auto"/>
              <w:jc w:val="center"/>
            </w:pPr>
            <w:r>
              <w:rPr>
                <w:sz w:val="20"/>
              </w:rPr>
              <w:t>F(1,38)=11,23</w:t>
            </w:r>
          </w:p>
        </w:tc>
        <w:tc>
          <w:tcPr>
            <w:tcW w:w="2484" w:type="dxa"/>
            <w:vAlign w:val="center"/>
          </w:tcPr>
          <w:p w14:paraId="45ADC296" w14:textId="77777777" w:rsidR="00762E5F" w:rsidRDefault="00000000" w:rsidP="00B34B59">
            <w:pPr>
              <w:spacing w:after="0" w:line="360" w:lineRule="auto"/>
              <w:jc w:val="center"/>
            </w:pPr>
            <w:r>
              <w:rPr>
                <w:sz w:val="20"/>
              </w:rPr>
              <w:t>.002</w:t>
            </w:r>
          </w:p>
        </w:tc>
        <w:tc>
          <w:tcPr>
            <w:tcW w:w="2484" w:type="dxa"/>
            <w:vAlign w:val="center"/>
          </w:tcPr>
          <w:p w14:paraId="360ECC9C" w14:textId="77777777" w:rsidR="00762E5F" w:rsidRDefault="00000000" w:rsidP="00B34B59">
            <w:pPr>
              <w:spacing w:after="0" w:line="360" w:lineRule="auto"/>
              <w:jc w:val="center"/>
            </w:pPr>
            <w:r>
              <w:rPr>
                <w:sz w:val="20"/>
              </w:rPr>
              <w:t>creștere mai mare în intervenție</w:t>
            </w:r>
          </w:p>
        </w:tc>
      </w:tr>
      <w:tr w:rsidR="00762E5F" w14:paraId="1E6DD13D" w14:textId="77777777">
        <w:trPr>
          <w:cantSplit/>
          <w:jc w:val="center"/>
        </w:trPr>
        <w:tc>
          <w:tcPr>
            <w:tcW w:w="2484" w:type="dxa"/>
            <w:vAlign w:val="center"/>
          </w:tcPr>
          <w:p w14:paraId="6B53436C" w14:textId="77777777" w:rsidR="00762E5F" w:rsidRDefault="00000000" w:rsidP="00B34B59">
            <w:pPr>
              <w:spacing w:after="0" w:line="360" w:lineRule="auto"/>
            </w:pPr>
            <w:r>
              <w:rPr>
                <w:sz w:val="20"/>
              </w:rPr>
              <w:t>Afect pozitiv</w:t>
            </w:r>
          </w:p>
        </w:tc>
        <w:tc>
          <w:tcPr>
            <w:tcW w:w="2484" w:type="dxa"/>
            <w:vAlign w:val="center"/>
          </w:tcPr>
          <w:p w14:paraId="744E731A" w14:textId="77777777" w:rsidR="00762E5F" w:rsidRDefault="00000000" w:rsidP="00B34B59">
            <w:pPr>
              <w:spacing w:after="0" w:line="360" w:lineRule="auto"/>
              <w:jc w:val="center"/>
            </w:pPr>
            <w:r>
              <w:rPr>
                <w:sz w:val="20"/>
              </w:rPr>
              <w:t>F(1,38)=4,20</w:t>
            </w:r>
          </w:p>
        </w:tc>
        <w:tc>
          <w:tcPr>
            <w:tcW w:w="2484" w:type="dxa"/>
            <w:vAlign w:val="center"/>
          </w:tcPr>
          <w:p w14:paraId="00A2A9CE" w14:textId="77777777" w:rsidR="00762E5F" w:rsidRDefault="00000000" w:rsidP="00B34B59">
            <w:pPr>
              <w:spacing w:after="0" w:line="360" w:lineRule="auto"/>
              <w:jc w:val="center"/>
            </w:pPr>
            <w:r>
              <w:rPr>
                <w:sz w:val="20"/>
              </w:rPr>
              <w:t>.047</w:t>
            </w:r>
          </w:p>
        </w:tc>
        <w:tc>
          <w:tcPr>
            <w:tcW w:w="2484" w:type="dxa"/>
            <w:vAlign w:val="center"/>
          </w:tcPr>
          <w:p w14:paraId="7B58F2F6" w14:textId="77777777" w:rsidR="00762E5F" w:rsidRDefault="00000000" w:rsidP="00B34B59">
            <w:pPr>
              <w:spacing w:after="0" w:line="360" w:lineRule="auto"/>
              <w:jc w:val="center"/>
            </w:pPr>
            <w:r>
              <w:rPr>
                <w:sz w:val="20"/>
              </w:rPr>
              <w:t>creștere mai mare în intervenție</w:t>
            </w:r>
          </w:p>
        </w:tc>
      </w:tr>
    </w:tbl>
    <w:p w14:paraId="7600D890" w14:textId="77777777" w:rsidR="00762E5F" w:rsidRDefault="00762E5F" w:rsidP="00B34B59">
      <w:pPr>
        <w:spacing w:after="0" w:line="360" w:lineRule="auto"/>
      </w:pPr>
    </w:p>
    <w:p w14:paraId="1981107D" w14:textId="77777777" w:rsidR="00762E5F" w:rsidRPr="005430EF" w:rsidRDefault="00000000" w:rsidP="00B34B59">
      <w:pPr>
        <w:pStyle w:val="Heading3"/>
        <w:spacing w:after="0" w:line="360" w:lineRule="auto"/>
        <w:rPr>
          <w:color w:val="000000" w:themeColor="text1"/>
        </w:rPr>
      </w:pPr>
      <w:r w:rsidRPr="005430EF">
        <w:rPr>
          <w:rFonts w:ascii="Times New Roman" w:eastAsia="Times New Roman" w:hAnsi="Times New Roman"/>
          <w:color w:val="000000" w:themeColor="text1"/>
        </w:rPr>
        <w:t>3.4.4. Discuții și concluzii</w:t>
      </w:r>
    </w:p>
    <w:p w14:paraId="07624EC6" w14:textId="17E8CAE5" w:rsidR="00762E5F" w:rsidRDefault="003B7C52" w:rsidP="00B34B59">
      <w:pPr>
        <w:spacing w:after="0" w:line="360" w:lineRule="auto"/>
        <w:jc w:val="both"/>
      </w:pPr>
      <w:r>
        <w:tab/>
        <w:t xml:space="preserve">Studiul 4 oferă suport preliminar pentru eficacitatea aplicației </w:t>
      </w:r>
      <w:r>
        <w:rPr>
          <w:i/>
        </w:rPr>
        <w:t>Future Psychotherapists</w:t>
      </w:r>
      <w:r>
        <w:t xml:space="preserve"> ca metodă de training pentru anumite abilități relaționale ale viitorilor psihoterapeuți. Comparativ cu o condiție activă de control VR, aplicația a produs îmbunătățiri mai mari în dimensiunea </w:t>
      </w:r>
      <w:r w:rsidRPr="003B7C52">
        <w:rPr>
          <w:i/>
          <w:iCs/>
        </w:rPr>
        <w:t>Task</w:t>
      </w:r>
      <w:r>
        <w:t xml:space="preserve"> a alianței terapeutice și în </w:t>
      </w:r>
      <w:r w:rsidRPr="003B7C52">
        <w:rPr>
          <w:i/>
          <w:iCs/>
        </w:rPr>
        <w:t>empatia cognitivă</w:t>
      </w:r>
      <w:r>
        <w:t>. Aceste rezultate sunt coerente cu natura aplicației, care solicită utilizatorului să identifice răspunsuri terapeutice potrivite și să înțeleagă perspectiva clientului într-un scenariu structurat.</w:t>
      </w:r>
    </w:p>
    <w:p w14:paraId="6174C0B8" w14:textId="58BC7BF2" w:rsidR="00762E5F" w:rsidRDefault="003B7C52" w:rsidP="00B34B59">
      <w:pPr>
        <w:spacing w:after="0" w:line="360" w:lineRule="auto"/>
        <w:jc w:val="both"/>
      </w:pPr>
      <w:r>
        <w:tab/>
        <w:t xml:space="preserve">Efectul asupra dimensiunii </w:t>
      </w:r>
      <w:r w:rsidRPr="003B7C52">
        <w:rPr>
          <w:i/>
          <w:iCs/>
        </w:rPr>
        <w:t>Task</w:t>
      </w:r>
      <w:r>
        <w:t xml:space="preserve"> sugerează că aplicația poate ajuta viitorii psihoterapeuți să recunoască și să exerseze răspunsuri care clarifică sarcinile terapeutice și susțin colaborarea în ședință. Această interpretare este coerentă cu conceptualizarea alianței terapeutice ca acord asupra sarcinilor, acord asupra obiectivelor și legătură interpersonală (Bordin, 1979). Faptul că dimensiunile </w:t>
      </w:r>
      <w:r w:rsidRPr="003B7C52">
        <w:rPr>
          <w:i/>
          <w:iCs/>
        </w:rPr>
        <w:t>Goal</w:t>
      </w:r>
      <w:r>
        <w:t xml:space="preserve"> și </w:t>
      </w:r>
      <w:r w:rsidRPr="003B7C52">
        <w:rPr>
          <w:i/>
          <w:iCs/>
        </w:rPr>
        <w:t>Bond</w:t>
      </w:r>
      <w:r>
        <w:t xml:space="preserve"> nu s-au modificat diferențiat poate fi explicat prin natura lor mai complexă, deoarece acordul asupra scopurilor și dezvoltarea legăturii terapeutice implică negociere, timp și o relație mai naturală.</w:t>
      </w:r>
      <w:r w:rsidR="005430EF">
        <w:t xml:space="preserve"> De asemenea, este necesar să se țină cont de faptul că puterea statistică a fost una redusă.</w:t>
      </w:r>
    </w:p>
    <w:p w14:paraId="571234EC" w14:textId="1E3627FE" w:rsidR="00762E5F" w:rsidRDefault="003B7C52" w:rsidP="00B34B59">
      <w:pPr>
        <w:spacing w:after="0" w:line="360" w:lineRule="auto"/>
        <w:jc w:val="both"/>
      </w:pPr>
      <w:r>
        <w:tab/>
        <w:t>Rezultatul privind empatia cognitivă este compatibil cu ideea că VR poate sprijini înțelegerea perspectivei, mai ales atunci când scenariul cere utilizatorului să asculte clientul, să interpreteze experiența acestuia și să aleagă un răspuns. Literatura privind VR și empatia indică efecte mixte, dar sugerează că VR poate susține anumite componente ale empatiei, în special înțelegerea perspectivei sau răspunsurile afective în funcție de design-ul studiului (Martingano et al., 2021; Ventura et al., 2020). Lipsa efectelor pentru empatia afectivă și asociativă sugerează că dezvoltarea acestor dimensiuni poate necesita expuneri repetate, scenarii mai variate și interacțiuni mai spontane.</w:t>
      </w:r>
    </w:p>
    <w:p w14:paraId="70853904" w14:textId="21F66A31" w:rsidR="00762E5F" w:rsidRDefault="003B7C52" w:rsidP="00B34B59">
      <w:pPr>
        <w:spacing w:after="0" w:line="360" w:lineRule="auto"/>
        <w:jc w:val="both"/>
      </w:pPr>
      <w:r>
        <w:tab/>
        <w:t>Creșterile în autoeficacitatea terapeutică indică faptul că training-ul a contribuit la percepția participanților că pot gestiona mai bine sarcini terapeutice. Acest rezultat este important pentru formarea timpurie, deoarece viitorii psihoterapeuți pot avea anxietate și incertitudine privind propriile competențe. O experiență sigură, structurată și feedback-ul și feedback primit pot susține încrederea profesională fără a expune participanții la riscurile unei interacțiuni clinice reale.</w:t>
      </w:r>
    </w:p>
    <w:p w14:paraId="41E95540" w14:textId="1885E56A" w:rsidR="00762E5F" w:rsidRDefault="003B7C52" w:rsidP="00B34B59">
      <w:pPr>
        <w:spacing w:after="0" w:line="360" w:lineRule="auto"/>
        <w:jc w:val="both"/>
      </w:pPr>
      <w:r>
        <w:tab/>
        <w:t xml:space="preserve">Efectul asupra afectului pozitiv este relevant, deoarece grupul de control a parcurs tot o experiență VR potențial plăcută, bazată pe natură. Literatura arată că mediile naturale virtuale pot avea efecte asupra afectului pozitiv (Bolouki, 2024; Mostajeran et al., 2023), astfel încât diferența în favoarea aplicației </w:t>
      </w:r>
      <w:r>
        <w:rPr>
          <w:i/>
        </w:rPr>
        <w:t>Future Psychotherapists</w:t>
      </w:r>
      <w:r>
        <w:t xml:space="preserve"> sugerează că elementele specifice ale trainingului - practica răspunsurilor terapeutice, feedbackul și sentimentul de progres - pot contribui la o experiență afectivă pozitivă suplimentară.</w:t>
      </w:r>
    </w:p>
    <w:p w14:paraId="2F784966" w14:textId="2B96642F" w:rsidR="00762E5F" w:rsidRDefault="003B7C52" w:rsidP="00B34B59">
      <w:pPr>
        <w:spacing w:after="0" w:line="360" w:lineRule="auto"/>
        <w:jc w:val="both"/>
      </w:pPr>
      <w:r>
        <w:tab/>
        <w:t xml:space="preserve">Absența moderării prin prezență se aliniază literaturii mixte privind rolul prezenței în VR. Prezența poate contribui la activarea emoțională în unele contexte VR, dar nu este neapărat asociată direct cu rezultatul intervenției (Ling et al., 2014; Price &amp; Anderson, 2007). În educație și training, prezența poate coexista cu încărcare cognitivă ridicată sau cu rezultate de învățare mai slabe, în funcție de design-ul sarcinii (Makransky et al., 2019; Yang et al., 2023). În cazul aplicației </w:t>
      </w:r>
      <w:r>
        <w:rPr>
          <w:i/>
        </w:rPr>
        <w:t>Future Psychotherapists</w:t>
      </w:r>
      <w:r>
        <w:t>, efectele par mai probabil legate de structura pedagogică, de conținutul terapeutic al deciziilor și de feedback decât de nivelul subiectiv de prezență.</w:t>
      </w:r>
    </w:p>
    <w:p w14:paraId="34A49D08" w14:textId="438E1A7E" w:rsidR="00762E5F" w:rsidRDefault="003B7C52" w:rsidP="00B34B59">
      <w:pPr>
        <w:spacing w:after="0" w:line="360" w:lineRule="auto"/>
        <w:jc w:val="both"/>
      </w:pPr>
      <w:r>
        <w:tab/>
        <w:t>Principalele limite ale studiului includ dimensiunea redusă a eșantionului, predominanța femeilor, recrutarea dintr-o singură facultate, lipsa datelor privind vârsta, utilizarea unei singure sesiuni și evaluarea exclusiv prin auto-raportare. De asemenea, nu au existat măsurători follow-up, ceea ce limitează concluziile privind menținerea efectelor în timp. Cu toate acestea, studiul oferă un prim test controlat al aplicației și susține rolul acesteia ca metodă de training complementară sau de a doua linie.</w:t>
      </w:r>
    </w:p>
    <w:p w14:paraId="2A29009E" w14:textId="77777777" w:rsidR="00762E5F" w:rsidRDefault="00000000" w:rsidP="00B34B59">
      <w:pPr>
        <w:spacing w:after="0" w:line="360" w:lineRule="auto"/>
      </w:pPr>
      <w:r>
        <w:br w:type="page"/>
      </w:r>
    </w:p>
    <w:p w14:paraId="02097688" w14:textId="77777777" w:rsidR="00762E5F" w:rsidRPr="005430EF" w:rsidRDefault="00000000" w:rsidP="00B34B59">
      <w:pPr>
        <w:pStyle w:val="Heading1"/>
        <w:spacing w:after="0" w:line="360" w:lineRule="auto"/>
        <w:rPr>
          <w:color w:val="000000" w:themeColor="text1"/>
        </w:rPr>
      </w:pPr>
      <w:r w:rsidRPr="005430EF">
        <w:rPr>
          <w:rFonts w:ascii="Times New Roman" w:eastAsia="Times New Roman" w:hAnsi="Times New Roman"/>
          <w:color w:val="000000" w:themeColor="text1"/>
        </w:rPr>
        <w:t>CAPITOLUL IV. DISCUȚII GENERALE: CONCLUZII ȘI IMPLICAȚII</w:t>
      </w:r>
    </w:p>
    <w:p w14:paraId="4014FDAC" w14:textId="77777777" w:rsidR="00762E5F" w:rsidRPr="005430EF" w:rsidRDefault="00000000" w:rsidP="00B34B59">
      <w:pPr>
        <w:pStyle w:val="Heading2"/>
        <w:spacing w:after="0" w:line="360" w:lineRule="auto"/>
        <w:rPr>
          <w:color w:val="000000" w:themeColor="text1"/>
        </w:rPr>
      </w:pPr>
      <w:r w:rsidRPr="005430EF">
        <w:rPr>
          <w:rFonts w:ascii="Times New Roman" w:eastAsia="Times New Roman" w:hAnsi="Times New Roman"/>
          <w:color w:val="000000" w:themeColor="text1"/>
        </w:rPr>
        <w:t>4.1. Concluzii generale</w:t>
      </w:r>
    </w:p>
    <w:p w14:paraId="00548728" w14:textId="3D9B2F30" w:rsidR="00762E5F" w:rsidRDefault="003B7C52" w:rsidP="00B34B59">
      <w:pPr>
        <w:spacing w:after="0" w:line="360" w:lineRule="auto"/>
        <w:jc w:val="both"/>
      </w:pPr>
      <w:r>
        <w:tab/>
        <w:t>Obiectivul general al tezei a fost dezvoltarea și evaluarea empirică a unei aplicații de realitate virtuală pentru formarea abilităților relație</w:t>
      </w:r>
      <w:r w:rsidR="00754EC1">
        <w:t>i</w:t>
      </w:r>
      <w:r>
        <w:t xml:space="preserve"> terapeutic</w:t>
      </w:r>
      <w:r w:rsidR="00754EC1">
        <w:t>e</w:t>
      </w:r>
      <w:r>
        <w:t xml:space="preserve"> la viitorii psihoterapeuți. Cele patru studii au fost organizate secvențial și au răspuns unor nevoi complementare: sinteza dovezilor privind VR și afectul pozitiv, dezvoltarea și testarea inițială a aplicației, adaptarea unui instrument de măsurare a prezenței și testarea controlată a eficacității aplicației.</w:t>
      </w:r>
    </w:p>
    <w:p w14:paraId="45D1C194" w14:textId="056E0EFF" w:rsidR="00762E5F" w:rsidRDefault="003B7C52" w:rsidP="00B34B59">
      <w:pPr>
        <w:spacing w:after="0" w:line="360" w:lineRule="auto"/>
        <w:jc w:val="both"/>
      </w:pPr>
      <w:r>
        <w:tab/>
        <w:t xml:space="preserve">Studiul 1 a arătat că intervențiile psihologice bazate pe VR produc creșteri mici, dar robuste ale afectului pozitiv față de condițiile non-VR. Studiul 2 a arătat că aplicația </w:t>
      </w:r>
      <w:r>
        <w:rPr>
          <w:i/>
        </w:rPr>
        <w:t>Future Psychotherapists</w:t>
      </w:r>
      <w:r>
        <w:t xml:space="preserve"> este fezabilă și utilizabilă. Studiul 3 a furnizat dovezi inițiale privind fiabilitatea și validitatea versiunii românești a </w:t>
      </w:r>
      <w:r>
        <w:rPr>
          <w:i/>
        </w:rPr>
        <w:t>ITC-SOPI</w:t>
      </w:r>
      <w:r>
        <w:t>. Studiul 4 a arătat că aplicația produce îmbunătățiri mai mari decât un control activ VR în empatia cognitivă, dimensiunea Task a alianței terapeutice, autoeficacitatea terapeutică și afectul pozitiv.</w:t>
      </w:r>
    </w:p>
    <w:p w14:paraId="1AFC1F83" w14:textId="2B44F48B" w:rsidR="00762E5F" w:rsidRDefault="003B7C52" w:rsidP="00B34B59">
      <w:pPr>
        <w:spacing w:after="0" w:line="360" w:lineRule="auto"/>
        <w:jc w:val="both"/>
      </w:pPr>
      <w:r>
        <w:tab/>
        <w:t>În ansamblu, rezultatele susțin ideea că VR poate fi integrată în formarea viitorilor psihoterapeuți ca instrument complementar, nu ca substitut pentru supervizare, joc de rol, pacienți standardizați sau practică clinică directă. Această interpretare este coerentă cu literatura care arată importanța metodelor experiențiale, a învățării active, a consultării și a feedback</w:t>
      </w:r>
      <w:r w:rsidR="00732FBA">
        <w:t>-</w:t>
      </w:r>
      <w:r>
        <w:t>ului în formarea psihoterapeuților (Beidas &amp; Kendall, 2010; Frank et al., 2020; Rønning &amp; Bjørkly, 2019). Aplicația poate oferi o punte între teoria predată în cursuri și situațiile practice în care viitorii psihoterapeuți trebuie să formuleze răspunsuri terapeutice adecvate.</w:t>
      </w:r>
    </w:p>
    <w:p w14:paraId="5551B729" w14:textId="0F6642C1" w:rsidR="00762E5F" w:rsidRDefault="00732FBA" w:rsidP="00B34B59">
      <w:pPr>
        <w:spacing w:after="0" w:line="360" w:lineRule="auto"/>
        <w:jc w:val="both"/>
      </w:pPr>
      <w:r>
        <w:tab/>
        <w:t xml:space="preserve">O concluzie importantă este că efectele cele mai clare apar la nivelul unor abilități mai cognitive și mai structurate: înțelegerea sarcinii terapeutice și empatia cognitivă. Dimensiunea Task face parte din conceptualizarea clasică a alianței terapeutice (Bordin, 1979), iar empatia cognitivă este una dintre dimensiunile empatiei </w:t>
      </w:r>
      <w:r w:rsidR="00754EC1">
        <w:t>ca</w:t>
      </w:r>
      <w:r>
        <w:t xml:space="preserve"> stare măsurate prin </w:t>
      </w:r>
      <w:r>
        <w:rPr>
          <w:i/>
        </w:rPr>
        <w:t>State Empathy Scale</w:t>
      </w:r>
      <w:r>
        <w:t xml:space="preserve"> (Shen, 2010). Dimensiunile mai profunde ale relației, precum bond-ul terapeutic sau empatia afectivă, pot necesita expunere repetată, relații mai naturale și contexte de învățare mai complexe.</w:t>
      </w:r>
    </w:p>
    <w:p w14:paraId="3AEC802E" w14:textId="77777777" w:rsidR="00762E5F" w:rsidRPr="00732FBA" w:rsidRDefault="00000000" w:rsidP="00B34B59">
      <w:pPr>
        <w:pStyle w:val="Heading2"/>
        <w:spacing w:after="0" w:line="360" w:lineRule="auto"/>
        <w:rPr>
          <w:color w:val="000000" w:themeColor="text1"/>
        </w:rPr>
      </w:pPr>
      <w:r w:rsidRPr="00732FBA">
        <w:rPr>
          <w:rFonts w:ascii="Times New Roman" w:eastAsia="Times New Roman" w:hAnsi="Times New Roman"/>
          <w:color w:val="000000" w:themeColor="text1"/>
        </w:rPr>
        <w:t>4.2. Implicații teoretice și conceptuale</w:t>
      </w:r>
    </w:p>
    <w:p w14:paraId="1DFE27D9" w14:textId="0D5E9F31" w:rsidR="00762E5F" w:rsidRDefault="00732FBA" w:rsidP="00B34B59">
      <w:pPr>
        <w:spacing w:after="0" w:line="360" w:lineRule="auto"/>
        <w:jc w:val="both"/>
      </w:pPr>
      <w:r>
        <w:tab/>
        <w:t xml:space="preserve">Prima implicație teoretică a tezei este reconceptualizarea abilităților de relație terapeutică drept competențe care pot fi exersate în medii structurate. Empatia și alianța terapeutică nu sunt doar trăsături personale sau calități generale ale terapeutului, ci includ comportamente, alegeri, răspunsuri și procese care pot fi antrenate. Importanța acestor competențe este susținută de literatura care le leagă de rezultatul psihoterapiei (Elliott et al., 2018; Flückiger et al., 2018). Aplicația </w:t>
      </w:r>
      <w:r>
        <w:rPr>
          <w:i/>
        </w:rPr>
        <w:t>Future Psychotherapists</w:t>
      </w:r>
      <w:r>
        <w:t xml:space="preserve"> a operaționalizat aceste competențe sub forma unor noduri decizionale, fiecare solicitând alegerea unui răspuns terapeutic.</w:t>
      </w:r>
    </w:p>
    <w:p w14:paraId="3A4B8015" w14:textId="020DD3FA" w:rsidR="00762E5F" w:rsidRDefault="00732FBA" w:rsidP="00B34B59">
      <w:pPr>
        <w:spacing w:after="0" w:line="360" w:lineRule="auto"/>
        <w:jc w:val="both"/>
      </w:pPr>
      <w:r>
        <w:tab/>
        <w:t>A doua implicație este diferențierea între componentele relației terapeutice în funcție de susceptibilitatea lor la training scurt. Rezultatele arată că dimensiunea Task a alianței și empatia cognitivă pot fi influențate printr-o sesiune structurată. Această distincție este coerentă cu faptul că Task este o componentă specifică a alianței terapeutice (Bordin, 1979), iar empatia cognitivă este o dimensiune a empatiei</w:t>
      </w:r>
      <w:r w:rsidR="004B04D3">
        <w:t xml:space="preserve"> ca</w:t>
      </w:r>
      <w:r>
        <w:t xml:space="preserve"> stare (Shen, 2010). Dimensiuni precum Goal, Bond sau empatia afectivă pot necesita dezvoltare graduală, expuneri repetate și interacțiuni clinice mai naturale.</w:t>
      </w:r>
    </w:p>
    <w:p w14:paraId="7D7D6DB5" w14:textId="6B2AB000" w:rsidR="00762E5F" w:rsidRDefault="00732FBA" w:rsidP="00B34B59">
      <w:pPr>
        <w:spacing w:after="0" w:line="360" w:lineRule="auto"/>
        <w:jc w:val="both"/>
      </w:pPr>
      <w:r>
        <w:tab/>
        <w:t>A treia implicație privește rolul realității virtuale în psihologie. Teza susține o poziție echilibrată: VR nu este eficientă prin noutate sau imersiune în sine, ci atunci când este integrată într-o logică de training bazată pe dovezi. Elementele cheie nu sunt doar realismul sau tehnologia, ci și structura scenariului, relevanța clinică a deciziilor, feedback-ul și posibilitatea de repetare. Această poziție este coerentă cu literatura privind potrivirea dintre sarcină și tehnologie, design-ul pedagogic și feedback-ul în VR (Howard et al., 2021; Oje et al., 2025; Tusher et al., 2024).</w:t>
      </w:r>
    </w:p>
    <w:p w14:paraId="4FE6AEEA" w14:textId="125457D6" w:rsidR="00762E5F" w:rsidRDefault="00732FBA" w:rsidP="00B34B59">
      <w:pPr>
        <w:spacing w:after="0" w:line="360" w:lineRule="auto"/>
        <w:jc w:val="both"/>
      </w:pPr>
      <w:r>
        <w:tab/>
        <w:t>A patra implicație privește prezența. Deși prezența este importantă pentru evaluarea experienței VR, rezultatele tezei nu susțin ideea că prezența este automat mecanismul principal al schimbării în training. Această concluzie este coerentă cu literatura care arată că rolul prezenței în intervențiile și trainingurile VR este mixt și trebuie interpretat cu precauție (Ling et al., 2014; Makransky et al., 2019; Price &amp; Anderson, 2007; Yang et al., 2023). În aplicațiile educaționale, rezultatele pot depinde mai mult de design-ul instructional, decât de intensitatea sentimentului de „a fi acolo”.</w:t>
      </w:r>
    </w:p>
    <w:p w14:paraId="5FD13214" w14:textId="77777777" w:rsidR="00762E5F" w:rsidRPr="00732FBA" w:rsidRDefault="00000000" w:rsidP="00B34B59">
      <w:pPr>
        <w:pStyle w:val="Heading2"/>
        <w:spacing w:after="0" w:line="360" w:lineRule="auto"/>
        <w:rPr>
          <w:color w:val="000000" w:themeColor="text1"/>
        </w:rPr>
      </w:pPr>
      <w:r w:rsidRPr="00732FBA">
        <w:rPr>
          <w:rFonts w:ascii="Times New Roman" w:eastAsia="Times New Roman" w:hAnsi="Times New Roman"/>
          <w:color w:val="000000" w:themeColor="text1"/>
        </w:rPr>
        <w:t>4.3. Implicații clinice și practice</w:t>
      </w:r>
    </w:p>
    <w:p w14:paraId="777B18C2" w14:textId="48BA7400" w:rsidR="00762E5F" w:rsidRDefault="00732FBA" w:rsidP="00B34B59">
      <w:pPr>
        <w:spacing w:after="0" w:line="360" w:lineRule="auto"/>
        <w:jc w:val="both"/>
      </w:pPr>
      <w:r>
        <w:tab/>
        <w:t xml:space="preserve">Din punct de vedere practic, aplicația </w:t>
      </w:r>
      <w:r>
        <w:rPr>
          <w:i/>
        </w:rPr>
        <w:t>Future Psychotherapists</w:t>
      </w:r>
      <w:r>
        <w:t xml:space="preserve"> poate fi utilizată în programe de formare ca instrument suplimentar pentru exersarea răspunsurilor terapeutice. Ea poate fi integrată în seminare aplicative, laboratoare de psihoterapie, cursuri de consiliere psihologică, module introductive de practică sau contexte de supervizare în care studenții au nevoie de o pregătire graduală înainte de contactul direct cu clienți reali.</w:t>
      </w:r>
    </w:p>
    <w:p w14:paraId="4871AF1B" w14:textId="3400F3E0" w:rsidR="00762E5F" w:rsidRDefault="00732FBA" w:rsidP="00B34B59">
      <w:pPr>
        <w:spacing w:after="0" w:line="360" w:lineRule="auto"/>
        <w:jc w:val="both"/>
      </w:pPr>
      <w:r>
        <w:tab/>
        <w:t>Avantajul practic al aplicației constă în standardizare. Toți utilizatorii întâlnesc același scenariu, același client virtual, aceleași puncte decizionale și același sistem de feedback. Acest lucru permite compararea performanțelor, identificarea dificultăților comune și repetarea scenariului fără variabilitatea specifică jocurilor de rol tradiționale. În plus, utilizatorii pot greși fără consecințe clinice, ceea ce poate reduce anxietatea de performanță și poate încuraja învățarea.</w:t>
      </w:r>
    </w:p>
    <w:p w14:paraId="4C57768D" w14:textId="5E10ADD6" w:rsidR="00762E5F" w:rsidRDefault="00732FBA" w:rsidP="00B34B59">
      <w:pPr>
        <w:spacing w:after="0" w:line="360" w:lineRule="auto"/>
        <w:jc w:val="both"/>
      </w:pPr>
      <w:r>
        <w:tab/>
        <w:t>Aplicația este relevantă mai ales pentru fazele timpurii ale formării, când studenții cunosc concepte psihoterapeutice, dar nu au suficientă experiență pentru a le aplica spontan în interacțiuni clinice. Prin feedback</w:t>
      </w:r>
      <w:r w:rsidR="000F313E">
        <w:t>-</w:t>
      </w:r>
      <w:r>
        <w:t>ul oferit, aplicația poate ajuta la clarificarea diferenței dintre un răspuns mai puțin adecvat și un răspuns terapeutic mai potrivit. Astfel, ea poate susține dezvoltarea unei gândiri clinice mai structurate.</w:t>
      </w:r>
    </w:p>
    <w:p w14:paraId="526BCD99" w14:textId="40E9CF5F" w:rsidR="00762E5F" w:rsidRDefault="000F313E" w:rsidP="00B34B59">
      <w:pPr>
        <w:spacing w:after="0" w:line="360" w:lineRule="auto"/>
        <w:jc w:val="both"/>
      </w:pPr>
      <w:r>
        <w:tab/>
        <w:t>Totuși, implicațiile practice trebuie formulate prudent. Aplicația nu înlocuiește relația vie cu un client real, nu reproduce pe deplin complexitatea emoțională a unei ședințe autentice și nu poate substitui supervizarea. Ea trebuie înțeleasă ca metodă complementară, utilă pentru pregătire, familiarizare, exersare inițială și dezvoltarea unor răspunsuri de bază.</w:t>
      </w:r>
    </w:p>
    <w:p w14:paraId="0CBB4046" w14:textId="77777777" w:rsidR="00762E5F" w:rsidRPr="00C07588" w:rsidRDefault="00000000" w:rsidP="00B34B59">
      <w:pPr>
        <w:pStyle w:val="Heading2"/>
        <w:spacing w:after="0" w:line="360" w:lineRule="auto"/>
        <w:rPr>
          <w:color w:val="000000" w:themeColor="text1"/>
        </w:rPr>
      </w:pPr>
      <w:r w:rsidRPr="00C07588">
        <w:rPr>
          <w:rFonts w:ascii="Times New Roman" w:eastAsia="Times New Roman" w:hAnsi="Times New Roman"/>
          <w:color w:val="000000" w:themeColor="text1"/>
        </w:rPr>
        <w:t>4.4. Inovații metodologice</w:t>
      </w:r>
    </w:p>
    <w:p w14:paraId="069D812B" w14:textId="53B3B7AE" w:rsidR="00762E5F" w:rsidRDefault="000F313E" w:rsidP="00B34B59">
      <w:pPr>
        <w:spacing w:after="0" w:line="360" w:lineRule="auto"/>
        <w:jc w:val="both"/>
      </w:pPr>
      <w:r>
        <w:tab/>
        <w:t xml:space="preserve">Teza aduce două contribuții metodologice principale. Prima este dezvoltarea aplicației </w:t>
      </w:r>
      <w:r>
        <w:rPr>
          <w:i/>
        </w:rPr>
        <w:t>Future Psychotherapists</w:t>
      </w:r>
      <w:r>
        <w:t>, un instrument VR de training relațional construit în jurul unui scenariu clinic, cu noduri decizionale și feedback. Aplicația îmbină componente de simulare, învățare activă și evaluare sumativă și formativă. Ea se diferențiază de aplicațiile VR orientate generic spre empatie prin faptul că este construită explicit pentru formarea viitorilor psihoterapeuți și vizează empatia și alianța terapeutică în contextul unei interacțiuni psihoterapeutice.</w:t>
      </w:r>
    </w:p>
    <w:p w14:paraId="637109E3" w14:textId="27CD1EE6" w:rsidR="00762E5F" w:rsidRDefault="000F313E" w:rsidP="00B34B59">
      <w:pPr>
        <w:spacing w:after="0" w:line="360" w:lineRule="auto"/>
        <w:jc w:val="both"/>
      </w:pPr>
      <w:r>
        <w:tab/>
        <w:t xml:space="preserve">A doua contribuție metodologică este adaptarea versiunii românești a </w:t>
      </w:r>
      <w:r>
        <w:rPr>
          <w:i/>
        </w:rPr>
        <w:t>ITC-SOPI (Lessiter et al., 2001)</w:t>
      </w:r>
      <w:r>
        <w:t xml:space="preserve">. Disponibilitatea unui instrument standardizat pentru măsurarea prezenței și a efectelor negative permite cercetătorilor români să evalueze mai riguros aplicațiile VR și să compare rezultate între studii. Această contribuție depășește cadrul strict al aplicației </w:t>
      </w:r>
      <w:r>
        <w:rPr>
          <w:i/>
        </w:rPr>
        <w:t>Future Psychotherapists</w:t>
      </w:r>
      <w:r>
        <w:t xml:space="preserve"> și poate fi utilă pentru cercetări viitoare în psihologie clinică, educație, training și dezvoltare de tehnologii imersive.</w:t>
      </w:r>
    </w:p>
    <w:p w14:paraId="02953D4F" w14:textId="116AD821" w:rsidR="00762E5F" w:rsidRDefault="000F313E" w:rsidP="00B34B59">
      <w:pPr>
        <w:spacing w:after="0" w:line="360" w:lineRule="auto"/>
        <w:jc w:val="both"/>
      </w:pPr>
      <w:r>
        <w:tab/>
        <w:t>O altă inovație constă în logica secvențială a cercetării. Teza nu a trecut direct la testarea eficacității, ci a construit progresiv baza empirică: meta-analiză, dezvoltare și fezabilitate, adaptare de instrument și pilot RCT. Această abordare este importantă pentru cercetarea intervențiilor digitale, unde riscul este adesea testarea prematură a unor tehnologii insuficient validate sau insuficient fundamentate.</w:t>
      </w:r>
    </w:p>
    <w:p w14:paraId="325DAC22" w14:textId="77777777" w:rsidR="00762E5F" w:rsidRPr="00C07588" w:rsidRDefault="00000000" w:rsidP="00B34B59">
      <w:pPr>
        <w:pStyle w:val="Heading2"/>
        <w:spacing w:after="0" w:line="360" w:lineRule="auto"/>
        <w:rPr>
          <w:color w:val="000000" w:themeColor="text1"/>
        </w:rPr>
      </w:pPr>
      <w:r w:rsidRPr="00C07588">
        <w:rPr>
          <w:rFonts w:ascii="Times New Roman" w:eastAsia="Times New Roman" w:hAnsi="Times New Roman"/>
          <w:color w:val="000000" w:themeColor="text1"/>
        </w:rPr>
        <w:t>4.5. Limite și direcții viitoare</w:t>
      </w:r>
    </w:p>
    <w:p w14:paraId="4EA1632E" w14:textId="4AF22961" w:rsidR="00762E5F" w:rsidRDefault="000F313E" w:rsidP="00B34B59">
      <w:pPr>
        <w:spacing w:after="0" w:line="360" w:lineRule="auto"/>
        <w:jc w:val="both"/>
      </w:pPr>
      <w:r>
        <w:tab/>
        <w:t>Teza are mai multe limite. Prima limitare este dimensiunea relativ redusă a eșantioanelor empirice, în special în Studiul 4, unde pilotul randomizat controlat a inclus 40 de participanți. Deși o asemenea dimensiune este frecventă în studiile pilot, ea limitează puterea statistică și generalizabilitatea. Studiile viitoare ar trebui să includă eșantioane mai mari, recrutate din mai multe centre universitare și din programe de formare diferite.</w:t>
      </w:r>
    </w:p>
    <w:p w14:paraId="2066A97D" w14:textId="472A3B57" w:rsidR="00762E5F" w:rsidRDefault="000F313E" w:rsidP="00B34B59">
      <w:pPr>
        <w:spacing w:after="0" w:line="360" w:lineRule="auto"/>
        <w:jc w:val="both"/>
      </w:pPr>
      <w:r>
        <w:tab/>
        <w:t>A doua limitare este compoziția eșantioanelor, caracterizată prin predominanța femeilor și prin recrutarea în principal a studenților la psihologie. Această structură reflectă parțial realitatea demografică a programelor de psihologie, dar limitează analiza diferențelor în funcție de gen, vârstă, nivel de experiență și traseu profesional. În Studiile 3 și 4, vârsta participanților nu a fost colectată, ceea ce limitează descrierea eșantioanelor și explorarea potențialelor diferențe legate de vârstă.</w:t>
      </w:r>
    </w:p>
    <w:p w14:paraId="1D80E8B8" w14:textId="3A334EEC" w:rsidR="00762E5F" w:rsidRDefault="000F313E" w:rsidP="00B34B59">
      <w:pPr>
        <w:spacing w:after="0" w:line="360" w:lineRule="auto"/>
        <w:jc w:val="both"/>
      </w:pPr>
      <w:r>
        <w:tab/>
        <w:t xml:space="preserve">A treia limitare privește durata intervenției. Aplicația a fost testată într-o singură sesiune, ceea ce permite evaluarea efectelor imediate, dar nu arată dacă schimbările se mențin sau dacă se amplifică prin repetiție. Relația terapeutică se dezvoltă în timp, iar abilități precum </w:t>
      </w:r>
      <w:r w:rsidR="00C07588">
        <w:t>formarea legăturii afective (bond)</w:t>
      </w:r>
      <w:r>
        <w:t xml:space="preserve"> sau empatia afectivă pot necesita training repetat, feedback suplimentar și scenarii multiple.</w:t>
      </w:r>
    </w:p>
    <w:p w14:paraId="756C992E" w14:textId="5D67972A" w:rsidR="00762E5F" w:rsidRDefault="000F313E" w:rsidP="00B34B59">
      <w:pPr>
        <w:spacing w:after="0" w:line="360" w:lineRule="auto"/>
        <w:jc w:val="both"/>
      </w:pPr>
      <w:r>
        <w:tab/>
        <w:t>A patra limitare este folosirea exclusivă a auto-raportării pentru rezultatele principale în Studiul 4. Deși chestionarele utilizate sunt relevante, ele surprind percepția participantului, nu performanța observată. Cercetările viitoare ar trebui să includă evaluări comportamentale, rating</w:t>
      </w:r>
      <w:r w:rsidR="00C07588">
        <w:t>-</w:t>
      </w:r>
      <w:r>
        <w:t>uri realizate de observatori independenți, analize ale răspunsurilor verbale și poate chiar indicatori de performanță integrați în aplicație.</w:t>
      </w:r>
    </w:p>
    <w:p w14:paraId="623D7EB5" w14:textId="6A1F0185" w:rsidR="00762E5F" w:rsidRDefault="000F313E" w:rsidP="00B34B59">
      <w:pPr>
        <w:spacing w:after="0" w:line="360" w:lineRule="auto"/>
        <w:jc w:val="both"/>
      </w:pPr>
      <w:r>
        <w:tab/>
        <w:t>A cincea limitare privește generalizarea la practica clinică reală. Faptul că participanții au înregistrat îmbunătățiri după o experiență VR nu garantează transferul direct către interacțiuni autentice cu clienți. Studiile viitoare ar trebui să examineze transferul abilităților prin sarcini de tip role-play standardizat, evaluări în supervizare sau observații în contexte clinice controlate.</w:t>
      </w:r>
    </w:p>
    <w:p w14:paraId="6C32CF7A" w14:textId="77777777" w:rsidR="00762E5F" w:rsidRDefault="00000000" w:rsidP="00B34B59">
      <w:pPr>
        <w:spacing w:after="0" w:line="360" w:lineRule="auto"/>
        <w:jc w:val="both"/>
      </w:pPr>
      <w:r>
        <w:t>Direcțiile viitoare includ dezvoltarea unor scenarii multiple, cu clienți virtuali diferiți, niveluri variate de dificultate și tipuri diverse de probleme clinice. Aplicația ar putea include feedback textual mai explicit, explicații ale răspunsurilor corecte, urmărirea progresului și module separate pentru empatie, alianță, rupturi ale alianței și repararea acestora.</w:t>
      </w:r>
    </w:p>
    <w:p w14:paraId="744E6078" w14:textId="428A2E4C" w:rsidR="00762E5F" w:rsidRDefault="000F313E" w:rsidP="00B34B59">
      <w:pPr>
        <w:spacing w:after="0" w:line="360" w:lineRule="auto"/>
        <w:jc w:val="both"/>
      </w:pPr>
      <w:r>
        <w:tab/>
        <w:t>De asemenea, sunt necesare studii randomizate controlate mai ample, cu follow-up, care să compare aplicația nu doar cu un control VR activ, ci și cu metode tradiționale de formare, cum ar fi jocul de rol, feedback</w:t>
      </w:r>
      <w:r w:rsidR="00C07588">
        <w:t>-</w:t>
      </w:r>
      <w:r>
        <w:t>ul video sau pacienții standardizați. O astfel de cercetare ar putea stabili mai clar locul aplicației în curricula de formare: ca pregătire inițială, ca suport pentru seminar, ca instrument de practică individuală sau ca metodă integrată în supervizare.</w:t>
      </w:r>
    </w:p>
    <w:p w14:paraId="7DD7E42F" w14:textId="4A1EF16D" w:rsidR="00762E5F" w:rsidRDefault="000F313E" w:rsidP="00B34B59">
      <w:pPr>
        <w:spacing w:after="0" w:line="360" w:lineRule="auto"/>
        <w:jc w:val="both"/>
      </w:pPr>
      <w:r>
        <w:tab/>
        <w:t xml:space="preserve">În concluzie, teza oferă dovezi preliminare că realitatea virtuală poate fi folosită pentru formarea unor componente ale relației terapeutice la viitorii psihoterapeuți. Aplicația </w:t>
      </w:r>
      <w:r>
        <w:rPr>
          <w:i/>
        </w:rPr>
        <w:t>Future Psychotherapists</w:t>
      </w:r>
      <w:r>
        <w:t xml:space="preserve"> apare ca un instrument promițător, mai ales pentru dezvoltarea empatiei cognitive, a dimensiunii Task a alianței terapeutice, a autoeficacității și a afectului pozitiv. În același timp, rezultatele susțin o poziție realistă: VR poate completa formarea psihoterapeuților, dar nu o poate înlocui. Valoarea ei depinde de integrarea atentă într-un cadru educațional bazat pe dovezi, feedback și supervizare.</w:t>
      </w:r>
    </w:p>
    <w:p w14:paraId="5E59E45F" w14:textId="77777777" w:rsidR="004B04D3" w:rsidRDefault="004B04D3" w:rsidP="00B34B59">
      <w:pPr>
        <w:spacing w:after="0" w:line="360" w:lineRule="auto"/>
        <w:jc w:val="both"/>
      </w:pPr>
    </w:p>
    <w:p w14:paraId="399AEFBF" w14:textId="77777777" w:rsidR="004B04D3" w:rsidRDefault="004B04D3" w:rsidP="00B34B59">
      <w:pPr>
        <w:spacing w:after="0" w:line="360" w:lineRule="auto"/>
        <w:jc w:val="both"/>
      </w:pPr>
    </w:p>
    <w:p w14:paraId="07EC470F" w14:textId="77777777" w:rsidR="004B04D3" w:rsidRDefault="004B04D3" w:rsidP="00B34B59">
      <w:pPr>
        <w:spacing w:after="0" w:line="360" w:lineRule="auto"/>
        <w:jc w:val="both"/>
      </w:pPr>
    </w:p>
    <w:p w14:paraId="223D6E1F" w14:textId="77777777" w:rsidR="000F313E" w:rsidRDefault="000F313E" w:rsidP="00B34B59">
      <w:pPr>
        <w:spacing w:after="0" w:line="360" w:lineRule="auto"/>
        <w:jc w:val="both"/>
      </w:pPr>
    </w:p>
    <w:p w14:paraId="54759D9F" w14:textId="77777777" w:rsidR="000F313E" w:rsidRDefault="000F313E" w:rsidP="00B34B59">
      <w:pPr>
        <w:spacing w:after="0" w:line="360" w:lineRule="auto"/>
        <w:jc w:val="both"/>
      </w:pPr>
    </w:p>
    <w:p w14:paraId="3234FA4F" w14:textId="77777777" w:rsidR="000F313E" w:rsidRDefault="000F313E" w:rsidP="00B34B59">
      <w:pPr>
        <w:spacing w:after="0" w:line="360" w:lineRule="auto"/>
        <w:jc w:val="both"/>
      </w:pPr>
    </w:p>
    <w:p w14:paraId="2719AB35" w14:textId="77777777" w:rsidR="000F313E" w:rsidRDefault="000F313E" w:rsidP="00B34B59">
      <w:pPr>
        <w:spacing w:after="0" w:line="360" w:lineRule="auto"/>
        <w:jc w:val="both"/>
      </w:pPr>
    </w:p>
    <w:p w14:paraId="4348EAD7" w14:textId="77777777" w:rsidR="000F313E" w:rsidRDefault="000F313E" w:rsidP="00B34B59">
      <w:pPr>
        <w:spacing w:after="0" w:line="360" w:lineRule="auto"/>
        <w:jc w:val="both"/>
      </w:pPr>
    </w:p>
    <w:p w14:paraId="685D5080" w14:textId="77777777" w:rsidR="000F313E" w:rsidRDefault="000F313E" w:rsidP="00B34B59">
      <w:pPr>
        <w:spacing w:after="0" w:line="360" w:lineRule="auto"/>
        <w:jc w:val="both"/>
      </w:pPr>
    </w:p>
    <w:p w14:paraId="3F4E701A" w14:textId="77777777" w:rsidR="000F313E" w:rsidRDefault="000F313E" w:rsidP="00B34B59">
      <w:pPr>
        <w:spacing w:after="0" w:line="360" w:lineRule="auto"/>
        <w:jc w:val="both"/>
      </w:pPr>
    </w:p>
    <w:p w14:paraId="1879E474" w14:textId="77777777" w:rsidR="000F313E" w:rsidRDefault="000F313E" w:rsidP="00B34B59">
      <w:pPr>
        <w:spacing w:after="0" w:line="360" w:lineRule="auto"/>
        <w:jc w:val="both"/>
      </w:pPr>
    </w:p>
    <w:p w14:paraId="4109781A" w14:textId="77777777" w:rsidR="000F313E" w:rsidRDefault="000F313E" w:rsidP="00B34B59">
      <w:pPr>
        <w:spacing w:after="0" w:line="360" w:lineRule="auto"/>
        <w:jc w:val="both"/>
      </w:pPr>
    </w:p>
    <w:p w14:paraId="7F7AC0A0" w14:textId="77777777" w:rsidR="000F313E" w:rsidRDefault="000F313E" w:rsidP="00B34B59">
      <w:pPr>
        <w:spacing w:after="0" w:line="360" w:lineRule="auto"/>
        <w:jc w:val="both"/>
      </w:pPr>
    </w:p>
    <w:p w14:paraId="6872208A" w14:textId="77777777" w:rsidR="000F313E" w:rsidRDefault="000F313E" w:rsidP="00B34B59">
      <w:pPr>
        <w:spacing w:after="0" w:line="360" w:lineRule="auto"/>
        <w:jc w:val="both"/>
      </w:pPr>
    </w:p>
    <w:p w14:paraId="19342D1E" w14:textId="77777777" w:rsidR="000F313E" w:rsidRDefault="000F313E" w:rsidP="00B34B59">
      <w:pPr>
        <w:spacing w:after="0" w:line="360" w:lineRule="auto"/>
        <w:jc w:val="both"/>
      </w:pPr>
    </w:p>
    <w:p w14:paraId="5EE87FB4" w14:textId="77777777" w:rsidR="000F313E" w:rsidRDefault="000F313E" w:rsidP="00B34B59">
      <w:pPr>
        <w:spacing w:after="0" w:line="360" w:lineRule="auto"/>
        <w:jc w:val="both"/>
      </w:pPr>
    </w:p>
    <w:p w14:paraId="4DAC986B" w14:textId="77777777" w:rsidR="000F313E" w:rsidRDefault="000F313E" w:rsidP="00B34B59">
      <w:pPr>
        <w:spacing w:after="0" w:line="360" w:lineRule="auto"/>
        <w:jc w:val="both"/>
      </w:pPr>
    </w:p>
    <w:p w14:paraId="0F12E81C" w14:textId="77777777" w:rsidR="000F313E" w:rsidRDefault="000F313E" w:rsidP="00B34B59">
      <w:pPr>
        <w:spacing w:after="0" w:line="360" w:lineRule="auto"/>
        <w:jc w:val="both"/>
      </w:pPr>
    </w:p>
    <w:p w14:paraId="58D0E3A9" w14:textId="77777777" w:rsidR="000F313E" w:rsidRDefault="000F313E" w:rsidP="00B34B59">
      <w:pPr>
        <w:spacing w:after="0" w:line="360" w:lineRule="auto"/>
        <w:jc w:val="both"/>
      </w:pPr>
    </w:p>
    <w:p w14:paraId="0E6EC7AB" w14:textId="77777777" w:rsidR="00762E5F" w:rsidRPr="000F313E" w:rsidRDefault="00000000" w:rsidP="00B34B59">
      <w:pPr>
        <w:pStyle w:val="Heading1"/>
        <w:spacing w:after="0" w:line="360" w:lineRule="auto"/>
        <w:rPr>
          <w:color w:val="000000" w:themeColor="text1"/>
        </w:rPr>
      </w:pPr>
      <w:r w:rsidRPr="000F313E">
        <w:rPr>
          <w:rFonts w:ascii="Times New Roman" w:eastAsia="Times New Roman" w:hAnsi="Times New Roman"/>
          <w:color w:val="000000" w:themeColor="text1"/>
        </w:rPr>
        <w:t>REFERINȚE SELECTATE</w:t>
      </w:r>
    </w:p>
    <w:p w14:paraId="4AEEADF5" w14:textId="77777777" w:rsidR="00762E5F" w:rsidRDefault="00000000" w:rsidP="00B34B59">
      <w:pPr>
        <w:spacing w:after="0" w:line="360" w:lineRule="auto"/>
        <w:ind w:left="283" w:hanging="283"/>
        <w:jc w:val="both"/>
      </w:pPr>
      <w:r>
        <w:t>American Psychological Association. (2023). Empathy. In APA Dictionary of Psychology. https://dictionary.apa.org/empathy</w:t>
      </w:r>
    </w:p>
    <w:p w14:paraId="41946ABE" w14:textId="77777777" w:rsidR="00762E5F" w:rsidRDefault="00000000" w:rsidP="00B34B59">
      <w:pPr>
        <w:spacing w:after="0" w:line="360" w:lineRule="auto"/>
        <w:ind w:left="283" w:hanging="283"/>
        <w:jc w:val="both"/>
      </w:pPr>
      <w:r>
        <w:t>Aromataris, E., &amp; Munn, Z. (Eds.). (2020). JBI manual for evidence synthesis. JBI.</w:t>
      </w:r>
    </w:p>
    <w:p w14:paraId="75CFD396" w14:textId="77777777" w:rsidR="00762E5F" w:rsidRDefault="00000000" w:rsidP="00B34B59">
      <w:pPr>
        <w:spacing w:after="0" w:line="360" w:lineRule="auto"/>
        <w:ind w:left="283" w:hanging="283"/>
        <w:jc w:val="both"/>
      </w:pPr>
      <w:r>
        <w:t>Barnes-Horowitz, N. M., Metts, A., Rosenfield, D., Yarrington, J. S., Treanor, M., Echiverri-Cohen, A., Ritz, T., Meuret, A. E., &amp; Craske, M. G. (2024). Changes in positive and negative affect in psychotherapy for depression and anxiety. Journal of Consulting and Clinical Psychology, 92(4), 249–259. https://doi.org/10.1037/ccp0000865</w:t>
      </w:r>
    </w:p>
    <w:p w14:paraId="40F51628" w14:textId="77777777" w:rsidR="00762E5F" w:rsidRDefault="00000000" w:rsidP="00B34B59">
      <w:pPr>
        <w:spacing w:after="0" w:line="360" w:lineRule="auto"/>
        <w:ind w:left="283" w:hanging="283"/>
        <w:jc w:val="both"/>
      </w:pPr>
      <w:r>
        <w:t>Beidas, R. S., &amp; Kendall, P. C. (2010). Training therapists in evidence-based practice: A critical review of studies from a systems-contextual perspective. Clinical Psychology: Science and Practice, 17(1), 1–30. https://doi.org/10.1111/j.1468-2850.2009.01187.x</w:t>
      </w:r>
    </w:p>
    <w:p w14:paraId="155FCF54" w14:textId="77777777" w:rsidR="00762E5F" w:rsidRDefault="00000000" w:rsidP="00B34B59">
      <w:pPr>
        <w:spacing w:after="0" w:line="360" w:lineRule="auto"/>
        <w:ind w:left="283" w:hanging="283"/>
        <w:jc w:val="both"/>
      </w:pPr>
      <w:r>
        <w:t>Bell, I. H., Nicholas, J., Alvarez-Jimenez, M., Thompson, A., &amp; Valmaggia, L. (2020). Virtual reality as a clinical tool in mental health research and practice. Dialogues in Clinical Neuroscience, 22(2), 169–177. https://doi.org/10.31887/DCNS.2020.22.2/lvalmaggia</w:t>
      </w:r>
    </w:p>
    <w:p w14:paraId="17A19858" w14:textId="77777777" w:rsidR="00762E5F" w:rsidRDefault="00000000" w:rsidP="00B34B59">
      <w:pPr>
        <w:spacing w:after="0" w:line="360" w:lineRule="auto"/>
        <w:ind w:left="283" w:hanging="283"/>
        <w:jc w:val="both"/>
      </w:pPr>
      <w:r>
        <w:t>Bloch-Elkouby, S., Johnson, B. N., Chen, J. P., El Hayek, R., Jones, A., Eid, T., de Siqueira, A. G., Apter, Y., Yao, H., Lok, B., Foster, A., &amp; Galynker, I. (2026). Can training clinicians in emotional awareness using virtual patient interactions improve the therapeutic alliance with psychiatric outpatients and reduce suicidal outcomes? Psychiatry Research, 356, 116846. https://doi.org/10.1016/j.psychres.2025.116846</w:t>
      </w:r>
    </w:p>
    <w:p w14:paraId="2D5E1EBE" w14:textId="77777777" w:rsidR="00762E5F" w:rsidRDefault="00000000" w:rsidP="00B34B59">
      <w:pPr>
        <w:spacing w:after="0" w:line="360" w:lineRule="auto"/>
        <w:ind w:left="283" w:hanging="283"/>
        <w:jc w:val="both"/>
      </w:pPr>
      <w:r>
        <w:t>Bolouki, A. (2024). The impact of virtual reality natural and built environments on affective responses: A systematic review and meta-analysis. International Journal of Environmental Health Research, 34(1), 73–89. https://doi.org/10.1080/09603123.2022.2130881</w:t>
      </w:r>
    </w:p>
    <w:p w14:paraId="0ECE3066" w14:textId="77777777" w:rsidR="00762E5F" w:rsidRDefault="00000000" w:rsidP="00B34B59">
      <w:pPr>
        <w:spacing w:after="0" w:line="360" w:lineRule="auto"/>
        <w:ind w:left="283" w:hanging="283"/>
        <w:jc w:val="both"/>
      </w:pPr>
      <w:r>
        <w:t>Bordin, E. S. (1979). The generalizability of the psychoanalytic concept of the working alliance. Psychotherapy: Theory, Research &amp; Practice, 16(3), 252–260. https://doi.org/10.1037/h0085885</w:t>
      </w:r>
    </w:p>
    <w:p w14:paraId="17237693" w14:textId="77777777" w:rsidR="00762E5F" w:rsidRDefault="00000000" w:rsidP="00B34B59">
      <w:pPr>
        <w:spacing w:after="0" w:line="360" w:lineRule="auto"/>
        <w:ind w:left="283" w:hanging="283"/>
        <w:jc w:val="both"/>
      </w:pPr>
      <w:r>
        <w:t>Borenstein, M., Hedges, L. V., Higgins, J. P. T., &amp; Rothstein, H. R. (2009). Introduction to meta-analysis. John Wiley &amp; Sons.</w:t>
      </w:r>
    </w:p>
    <w:p w14:paraId="46889DC0" w14:textId="77777777" w:rsidR="00762E5F" w:rsidRDefault="00000000" w:rsidP="00B34B59">
      <w:pPr>
        <w:spacing w:after="0" w:line="360" w:lineRule="auto"/>
        <w:ind w:left="283" w:hanging="283"/>
        <w:jc w:val="both"/>
      </w:pPr>
      <w:r>
        <w:t>Borenstein, M., Hedges, L. V., Higgins, J. P. T., &amp; Rothstein, H. R. (2014). Comprehensive Meta-Analysis (Version 3) [Computer software]. Biostat.</w:t>
      </w:r>
    </w:p>
    <w:p w14:paraId="02189902" w14:textId="77777777" w:rsidR="00762E5F" w:rsidRDefault="00000000" w:rsidP="00B34B59">
      <w:pPr>
        <w:spacing w:after="0" w:line="360" w:lineRule="auto"/>
        <w:ind w:left="283" w:hanging="283"/>
        <w:jc w:val="both"/>
      </w:pPr>
      <w:r>
        <w:t xml:space="preserve">Brooke, J. (1996). </w:t>
      </w:r>
      <w:r>
        <w:rPr>
          <w:i/>
        </w:rPr>
        <w:t>SUS</w:t>
      </w:r>
      <w:r>
        <w:t>: A ‘quick and dirty’ usability scale. In P. W. Jordan, B. Thomas, I. L. McClelland, &amp; B. Weerdmeester (Eds.), Usability evaluation in industry (pp. 189–194). Taylor &amp; Francis.</w:t>
      </w:r>
    </w:p>
    <w:p w14:paraId="04B2956E" w14:textId="77777777" w:rsidR="00762E5F" w:rsidRDefault="00000000" w:rsidP="00B34B59">
      <w:pPr>
        <w:spacing w:after="0" w:line="360" w:lineRule="auto"/>
        <w:ind w:left="283" w:hanging="283"/>
        <w:jc w:val="both"/>
      </w:pPr>
      <w:r>
        <w:t>Brown, T. A. (2015). Confirmatory factor analysis for applied research (2nd ed.). Guilford Press.</w:t>
      </w:r>
    </w:p>
    <w:p w14:paraId="521B5D2D" w14:textId="77777777" w:rsidR="00762E5F" w:rsidRDefault="00000000" w:rsidP="00B34B59">
      <w:pPr>
        <w:spacing w:after="0" w:line="360" w:lineRule="auto"/>
        <w:ind w:left="283" w:hanging="283"/>
        <w:jc w:val="both"/>
      </w:pPr>
      <w:r>
        <w:t>Carlsson, J. (2012). Research on psychotherapists’ professional development during and after training. Nordic Psychology, 64(3), 150–167. https://doi.org/10.1080/19012276.2012.731310</w:t>
      </w:r>
    </w:p>
    <w:p w14:paraId="7ED26B5D" w14:textId="77777777" w:rsidR="00762E5F" w:rsidRDefault="00000000" w:rsidP="00B34B59">
      <w:pPr>
        <w:spacing w:after="0" w:line="360" w:lineRule="auto"/>
        <w:ind w:left="283" w:hanging="283"/>
        <w:jc w:val="both"/>
      </w:pPr>
      <w:r>
        <w:t>Chittaro, L., &amp; Ranon, R. (2007). Web3D technologies in learning, education and training: Motivations, issues, opportunities. Computers &amp; Education, 49(1), 3–18. https://doi.org/10.1016/j.compedu.2005.06.002</w:t>
      </w:r>
    </w:p>
    <w:p w14:paraId="696DD282" w14:textId="77777777" w:rsidR="00762E5F" w:rsidRDefault="00000000" w:rsidP="00B34B59">
      <w:pPr>
        <w:spacing w:after="0" w:line="360" w:lineRule="auto"/>
        <w:ind w:left="283" w:hanging="283"/>
        <w:jc w:val="both"/>
      </w:pPr>
      <w:r>
        <w:t>Cohen, J. (1988). Statistical power analysis for the behavioral sciences (2nd ed.). Lawrence Erlbaum Associates.</w:t>
      </w:r>
    </w:p>
    <w:p w14:paraId="3531ABA8" w14:textId="77777777" w:rsidR="00762E5F" w:rsidRDefault="00000000" w:rsidP="00B34B59">
      <w:pPr>
        <w:spacing w:after="0" w:line="360" w:lineRule="auto"/>
        <w:ind w:left="283" w:hanging="283"/>
        <w:jc w:val="both"/>
      </w:pPr>
      <w:r>
        <w:t>Cristolțan, D. A. (2026a). Feasibility and usability of a VR-based training for therapeutic relationship skills in future psychotherapists: A pilot study. Journal of Evidence-Based Psychotherapies, 26(1), 19–38. https://doi.org/10.24193/jebp.2026.12</w:t>
      </w:r>
    </w:p>
    <w:p w14:paraId="4D930B1F" w14:textId="77777777" w:rsidR="00762E5F" w:rsidRDefault="00000000" w:rsidP="00B34B59">
      <w:pPr>
        <w:spacing w:after="0" w:line="360" w:lineRule="auto"/>
        <w:ind w:left="283" w:hanging="283"/>
        <w:jc w:val="both"/>
      </w:pPr>
      <w:r>
        <w:t xml:space="preserve">Cristolțan, D. A. (2026b). Translation and validation of the Romanian version of the </w:t>
      </w:r>
      <w:r>
        <w:rPr>
          <w:i/>
        </w:rPr>
        <w:t>ITC–Sense of Presence Inventory</w:t>
      </w:r>
      <w:r>
        <w:t xml:space="preserve"> (</w:t>
      </w:r>
      <w:r>
        <w:rPr>
          <w:i/>
        </w:rPr>
        <w:t>ITC-SOPI</w:t>
      </w:r>
      <w:r>
        <w:t>) for assessing presence in virtual reality. Revista de Psihologie, 72(1), 63–79. https://doi.org/10.59277/RPSIH.2026.1.04</w:t>
      </w:r>
    </w:p>
    <w:p w14:paraId="1D1E7BDB" w14:textId="77777777" w:rsidR="00762E5F" w:rsidRDefault="00000000" w:rsidP="00B34B59">
      <w:pPr>
        <w:spacing w:after="0" w:line="360" w:lineRule="auto"/>
        <w:ind w:left="283" w:hanging="283"/>
        <w:jc w:val="both"/>
      </w:pPr>
      <w:r>
        <w:t>Duval, S., &amp; Tweedie, R. (2000). Trim and fill: A simple funnel-plot-based method of testing and adjusting for publication bias in meta-analysis. Biometrics, 56, 455–463. https://doi.org/10.1111/j.0006-341X.2000.00455.x</w:t>
      </w:r>
    </w:p>
    <w:p w14:paraId="358240FF" w14:textId="77777777" w:rsidR="00762E5F" w:rsidRDefault="00000000" w:rsidP="00B34B59">
      <w:pPr>
        <w:spacing w:after="0" w:line="360" w:lineRule="auto"/>
        <w:ind w:left="283" w:hanging="283"/>
        <w:jc w:val="both"/>
      </w:pPr>
      <w:r>
        <w:t>Egger, M., Smith, G. D., Schneider, M., &amp; Minder, C. (1997). Bias in meta-analysis detected by a simple, graphical test. BMJ, 315, 629–634. https://doi.org/10.1136/bmj.315.7109.629</w:t>
      </w:r>
    </w:p>
    <w:p w14:paraId="61045891" w14:textId="77777777" w:rsidR="00762E5F" w:rsidRDefault="00000000" w:rsidP="00B34B59">
      <w:pPr>
        <w:spacing w:after="0" w:line="360" w:lineRule="auto"/>
        <w:ind w:left="283" w:hanging="283"/>
        <w:jc w:val="both"/>
      </w:pPr>
      <w:r>
        <w:t>Elliott, R., Bohart, A. C., Watson, J. C., &amp; Murphy, D. (2018). Therapist empathy and client outcome: An updated meta-analysis. Psychotherapy, 55(4), 399–410. https://doi.org/10.1037/pst0000175</w:t>
      </w:r>
    </w:p>
    <w:p w14:paraId="7EC69C05" w14:textId="77777777" w:rsidR="00762E5F" w:rsidRDefault="00000000" w:rsidP="00B34B59">
      <w:pPr>
        <w:spacing w:after="0" w:line="360" w:lineRule="auto"/>
        <w:ind w:left="283" w:hanging="283"/>
        <w:jc w:val="both"/>
      </w:pPr>
      <w:r>
        <w:t>Flückiger, C., Del Re, A. C., Wampold, B. E., &amp; Horvath, A. O. (2018). The alliance in adult psychotherapy: A meta-analytic synthesis. Psychotherapy, 55(4), 316–340. https://doi.org/10.1037/pst0000172</w:t>
      </w:r>
    </w:p>
    <w:p w14:paraId="245C7ADB" w14:textId="77777777" w:rsidR="00762E5F" w:rsidRDefault="00000000" w:rsidP="00B34B59">
      <w:pPr>
        <w:spacing w:after="0" w:line="360" w:lineRule="auto"/>
        <w:ind w:left="283" w:hanging="283"/>
        <w:jc w:val="both"/>
      </w:pPr>
      <w:r>
        <w:t>Frank, H. E., Becker-Haimes, E. M., &amp; Kendall, P. C. (2020). Therapist training in evidence-based interventions for mental health: A systematic review of training approaches and outcomes. Clinical Psychology: Science and Practice, 27(3), e12330. https://doi.org/10.1111/cpsp.12330</w:t>
      </w:r>
    </w:p>
    <w:p w14:paraId="0AE1F3F6" w14:textId="77777777" w:rsidR="00762E5F" w:rsidRDefault="00000000" w:rsidP="00B34B59">
      <w:pPr>
        <w:spacing w:after="0" w:line="360" w:lineRule="auto"/>
        <w:ind w:left="283" w:hanging="283"/>
        <w:jc w:val="both"/>
      </w:pPr>
      <w:r>
        <w:t>Fredrickson, B. L. (2001). The role of positive emotions in positive psychology: The broaden-and-build theory of positive emotions. American Psychologist, 56(3), 218–226. https://doi.org/10.1037/0003-066X.56.3.218</w:t>
      </w:r>
    </w:p>
    <w:p w14:paraId="1958D406" w14:textId="1DA10E69" w:rsidR="00762E5F" w:rsidRDefault="00000000" w:rsidP="00B34B59">
      <w:pPr>
        <w:spacing w:after="0" w:line="360" w:lineRule="auto"/>
      </w:pPr>
      <w:r>
        <w:t xml:space="preserve">Garcia Fracaro, S., Chan, P., Gallagher, T., Tehreem, Y., Toyoda, R., Bernaerts, K., Glassey, J., Pfeiffer, T., Slof, B., Wachsmuth, S., &amp; Wilk, M. (2021). Towards design guidelines for virtual reality training for the chemical industry. Education for Chemical Engineers, 36, 12–23. </w:t>
      </w:r>
      <w:hyperlink r:id="rId14" w:history="1">
        <w:r w:rsidR="001924B2" w:rsidRPr="005C60EC">
          <w:rPr>
            <w:rStyle w:val="Hyperlink"/>
          </w:rPr>
          <w:t>https://doi.org/10.1016/j.ece.2021.01.014</w:t>
        </w:r>
      </w:hyperlink>
      <w:r w:rsidR="001924B2">
        <w:t xml:space="preserve"> </w:t>
      </w:r>
    </w:p>
    <w:p w14:paraId="7FCAB1BC" w14:textId="77777777" w:rsidR="00762E5F" w:rsidRDefault="00000000" w:rsidP="00B34B59">
      <w:pPr>
        <w:spacing w:after="0" w:line="360" w:lineRule="auto"/>
        <w:ind w:left="283" w:hanging="283"/>
        <w:jc w:val="both"/>
      </w:pPr>
      <w:r>
        <w:t>Gelso, C. J. (2014). A tripartite model of the therapeutic relationship: Theory, research, and practice. Psychotherapy Research, 24(2), 117–131. https://doi.org/10.1080/10503307.2013.845920</w:t>
      </w:r>
    </w:p>
    <w:p w14:paraId="1E11650C" w14:textId="77777777" w:rsidR="00762E5F" w:rsidRDefault="00000000" w:rsidP="00B34B59">
      <w:pPr>
        <w:spacing w:after="0" w:line="360" w:lineRule="auto"/>
        <w:ind w:left="283" w:hanging="283"/>
        <w:jc w:val="both"/>
      </w:pPr>
      <w:r>
        <w:t>Gelso, C. J., &amp; Carter, J. A. (1985). The relationship in counseling and psychotherapy: Components, consequences, and theoretical antecedents. The Counseling Psychologist, 13(2), 155–243.</w:t>
      </w:r>
    </w:p>
    <w:p w14:paraId="0D92F40B" w14:textId="0B386613" w:rsidR="001924B2" w:rsidRDefault="001924B2" w:rsidP="00B34B59">
      <w:pPr>
        <w:spacing w:after="0" w:line="360" w:lineRule="auto"/>
        <w:ind w:left="283" w:hanging="283"/>
        <w:jc w:val="both"/>
      </w:pPr>
      <w:r w:rsidRPr="001924B2">
        <w:t xml:space="preserve">Gori, A., Topino, E., Brugnera, A., Dondoni, M., &amp; Lauro Grotto, R. (2022). Assessment of professional self-efficacy in psychological interventions and psychotherapy sessions: Development of the Therapist Self-Efficacy Scale (T-SES) and its application for eTherapy. </w:t>
      </w:r>
      <w:r w:rsidRPr="001924B2">
        <w:rPr>
          <w:i/>
          <w:iCs/>
        </w:rPr>
        <w:t>Journal of Clinical Psychology, 78</w:t>
      </w:r>
      <w:r w:rsidRPr="001924B2">
        <w:t xml:space="preserve">(11), 2122–2144. </w:t>
      </w:r>
      <w:hyperlink r:id="rId15" w:tgtFrame="_new" w:history="1">
        <w:r w:rsidRPr="001924B2">
          <w:rPr>
            <w:rStyle w:val="Hyperlink"/>
          </w:rPr>
          <w:t>https://doi.org/10.1002/jclp.23391</w:t>
        </w:r>
      </w:hyperlink>
    </w:p>
    <w:p w14:paraId="1C5E38A1" w14:textId="77777777" w:rsidR="00762E5F" w:rsidRDefault="00000000" w:rsidP="00B34B59">
      <w:pPr>
        <w:spacing w:after="0" w:line="360" w:lineRule="auto"/>
        <w:ind w:left="283" w:hanging="283"/>
        <w:jc w:val="both"/>
      </w:pPr>
      <w:r>
        <w:t>Harmon-Jones, E., &amp; Harmon-Jones, C. (2021). On defining positive affect (PA): Considering attitudes toward emotions, measures of PA, and approach motivation. Current Opinion in Behavioral Sciences, 39, 46–51. https://doi.org/10.1016/j.cobeha.2021.01.008</w:t>
      </w:r>
    </w:p>
    <w:p w14:paraId="65AF45F6" w14:textId="77777777" w:rsidR="00762E5F" w:rsidRDefault="00000000" w:rsidP="00B34B59">
      <w:pPr>
        <w:spacing w:after="0" w:line="360" w:lineRule="auto"/>
        <w:ind w:left="283" w:hanging="283"/>
        <w:jc w:val="both"/>
      </w:pPr>
      <w:r>
        <w:t xml:space="preserve">Hart, S. G., &amp; Staveland, L. E. (1988). Development of </w:t>
      </w:r>
      <w:r>
        <w:rPr>
          <w:i/>
        </w:rPr>
        <w:t>NASA-TLX</w:t>
      </w:r>
      <w:r>
        <w:t xml:space="preserve"> (</w:t>
      </w:r>
      <w:r>
        <w:rPr>
          <w:i/>
        </w:rPr>
        <w:t>Task Load Index</w:t>
      </w:r>
      <w:r>
        <w:t>): Results of empirical and theoretical research. In P. A. Hancock &amp; N. Meshkati (Eds.), Human mental workload (pp. 139–183). North-Holland.</w:t>
      </w:r>
    </w:p>
    <w:p w14:paraId="101BE788" w14:textId="77777777" w:rsidR="00762E5F" w:rsidRDefault="00000000" w:rsidP="00B34B59">
      <w:pPr>
        <w:spacing w:after="0" w:line="360" w:lineRule="auto"/>
        <w:ind w:left="283" w:hanging="283"/>
        <w:jc w:val="both"/>
      </w:pPr>
      <w:r>
        <w:t>Howard, M. C., Gutworth, M. B., &amp; Jacobs, R. R. (2021). A meta-analysis of virtual reality training programs. Computers in Human Behavior, 121, 106808. https://doi.org/10.1016/j.chb.2021.106808</w:t>
      </w:r>
    </w:p>
    <w:p w14:paraId="198DF4DF" w14:textId="6F5DEE84" w:rsidR="00762E5F" w:rsidRDefault="00000000" w:rsidP="00B34B59">
      <w:pPr>
        <w:spacing w:after="0" w:line="360" w:lineRule="auto"/>
        <w:ind w:left="283" w:hanging="283"/>
        <w:jc w:val="both"/>
      </w:pPr>
      <w:r>
        <w:t xml:space="preserve">JASP Team. (2023). JASP (Version 0.18) [Computer software]. </w:t>
      </w:r>
      <w:hyperlink r:id="rId16" w:history="1">
        <w:r w:rsidR="001924B2" w:rsidRPr="005C60EC">
          <w:rPr>
            <w:rStyle w:val="Hyperlink"/>
          </w:rPr>
          <w:t>https://jasp-stats.org/</w:t>
        </w:r>
      </w:hyperlink>
    </w:p>
    <w:p w14:paraId="65553EAB" w14:textId="77777777" w:rsidR="001924B2" w:rsidRPr="001924B2" w:rsidRDefault="001924B2" w:rsidP="001924B2">
      <w:pPr>
        <w:spacing w:after="0" w:line="360" w:lineRule="auto"/>
        <w:ind w:left="283" w:hanging="283"/>
        <w:jc w:val="both"/>
      </w:pPr>
      <w:r w:rsidRPr="001924B2">
        <w:t xml:space="preserve">Hatcher, R. L., &amp; Gillaspy, J. A. (2006). Development and validation of a revised short version of the Working Alliance Inventory. </w:t>
      </w:r>
      <w:r w:rsidRPr="001924B2">
        <w:rPr>
          <w:i/>
          <w:iCs/>
        </w:rPr>
        <w:t>Psychotherapy Research, 16</w:t>
      </w:r>
      <w:r w:rsidRPr="001924B2">
        <w:t xml:space="preserve">(1), 12–25. </w:t>
      </w:r>
      <w:hyperlink r:id="rId17" w:tgtFrame="_new" w:history="1">
        <w:r w:rsidRPr="001924B2">
          <w:rPr>
            <w:rStyle w:val="Hyperlink"/>
          </w:rPr>
          <w:t>https://doi.org/10.1080/10503300500352500</w:t>
        </w:r>
      </w:hyperlink>
    </w:p>
    <w:p w14:paraId="1252146B" w14:textId="77777777" w:rsidR="001924B2" w:rsidRPr="001924B2" w:rsidRDefault="001924B2" w:rsidP="001924B2">
      <w:pPr>
        <w:spacing w:after="0" w:line="360" w:lineRule="auto"/>
        <w:ind w:left="283" w:hanging="283"/>
        <w:jc w:val="both"/>
      </w:pPr>
      <w:r w:rsidRPr="001924B2">
        <w:t xml:space="preserve">Hatcher, R. L., Lindqvist, K., &amp; Falkenström, F. (2020). Psychometric evaluation of the Working Alliance Inventory—Therapist version: Current and new short forms. </w:t>
      </w:r>
      <w:r w:rsidRPr="001924B2">
        <w:rPr>
          <w:i/>
          <w:iCs/>
        </w:rPr>
        <w:t>Psychotherapy Research, 30</w:t>
      </w:r>
      <w:r w:rsidRPr="001924B2">
        <w:t xml:space="preserve">(6), 706–717. </w:t>
      </w:r>
      <w:hyperlink r:id="rId18" w:tgtFrame="_new" w:history="1">
        <w:r w:rsidRPr="001924B2">
          <w:rPr>
            <w:rStyle w:val="Hyperlink"/>
          </w:rPr>
          <w:t>https://doi.org/10.1080/10503307.2019.1677964</w:t>
        </w:r>
      </w:hyperlink>
    </w:p>
    <w:p w14:paraId="7E04EFFA" w14:textId="77777777" w:rsidR="001924B2" w:rsidRDefault="001924B2" w:rsidP="00B34B59">
      <w:pPr>
        <w:spacing w:after="0" w:line="360" w:lineRule="auto"/>
        <w:ind w:left="283" w:hanging="283"/>
        <w:jc w:val="both"/>
      </w:pPr>
    </w:p>
    <w:p w14:paraId="75F7C5C8" w14:textId="77777777" w:rsidR="00762E5F" w:rsidRDefault="00000000" w:rsidP="00B34B59">
      <w:pPr>
        <w:spacing w:after="0" w:line="360" w:lineRule="auto"/>
        <w:ind w:left="283" w:hanging="283"/>
        <w:jc w:val="both"/>
      </w:pPr>
      <w:r>
        <w:t xml:space="preserve">Kennedy, R. S., Lane, N. E., Berbaum, K. S., &amp; Lilienthal, M. G. (1993). </w:t>
      </w:r>
      <w:r>
        <w:rPr>
          <w:i/>
        </w:rPr>
        <w:t>Simulator Sickness Questionnaire</w:t>
      </w:r>
      <w:r>
        <w:t>: An enhanced method for quantifying simulator sickness. The International Journal of Aviation Psychology, 3(3), 203–220. https://doi.org/10.1207/s15327108ijap0303_3</w:t>
      </w:r>
    </w:p>
    <w:p w14:paraId="3D6B8164" w14:textId="77777777" w:rsidR="00762E5F" w:rsidRDefault="00000000" w:rsidP="00B34B59">
      <w:pPr>
        <w:spacing w:after="0" w:line="360" w:lineRule="auto"/>
      </w:pPr>
      <w:r>
        <w:t>Kenny, P., Rizzo, A. A., Parsons, T. D., Gratch, J., &amp; Swartout, W. (2007). A virtual human agent for training novice therapist clinical interviewing skills. Annual Review of CyberTherapy and Telemedicine, 5, 81–89.</w:t>
      </w:r>
    </w:p>
    <w:p w14:paraId="604FBD5B" w14:textId="77777777" w:rsidR="00762E5F" w:rsidRDefault="00000000" w:rsidP="00B34B59">
      <w:pPr>
        <w:spacing w:after="0" w:line="360" w:lineRule="auto"/>
        <w:ind w:left="283" w:hanging="283"/>
        <w:jc w:val="both"/>
      </w:pPr>
      <w:r>
        <w:t>Kirschner, P. A. (2002). Cognitive load theory: Implications of cognitive load theory on the design of learning. Learning and Instruction, 12(1), 1–10. https://doi.org/10.1016/S0959-4752(01)00014-7</w:t>
      </w:r>
    </w:p>
    <w:p w14:paraId="6E2038B4" w14:textId="77777777" w:rsidR="00762E5F" w:rsidRDefault="00000000" w:rsidP="00B34B59">
      <w:pPr>
        <w:spacing w:after="0" w:line="360" w:lineRule="auto"/>
        <w:ind w:left="283" w:hanging="283"/>
        <w:jc w:val="both"/>
      </w:pPr>
      <w:r>
        <w:t>Kisker, J., Gruber, T., &amp; Schöne, B. (2021). Behavioral realism and lifelike psychophysiological responses in virtual reality by the example of a height exposure. Psychological Research, 85(1), 68–81. https://doi.org/10.1007/s00426-019-01244-9</w:t>
      </w:r>
    </w:p>
    <w:p w14:paraId="652C39C4" w14:textId="77777777" w:rsidR="00762E5F" w:rsidRDefault="00000000" w:rsidP="00B34B59">
      <w:pPr>
        <w:spacing w:after="0" w:line="360" w:lineRule="auto"/>
        <w:ind w:left="283" w:hanging="283"/>
        <w:jc w:val="both"/>
      </w:pPr>
      <w:r>
        <w:t>Lee, K. M. (2004). Presence, explicated. Communication Theory, 14(1), 27–50. https://doi.org/10.1111/j.1468-2885.2004.tb00302.x</w:t>
      </w:r>
    </w:p>
    <w:p w14:paraId="6CB0EF17" w14:textId="77777777" w:rsidR="00762E5F" w:rsidRDefault="00000000" w:rsidP="00B34B59">
      <w:pPr>
        <w:spacing w:after="0" w:line="360" w:lineRule="auto"/>
        <w:ind w:left="283" w:hanging="283"/>
        <w:jc w:val="both"/>
      </w:pPr>
      <w:r>
        <w:t xml:space="preserve">Lessiter, J., Freeman, J., Keogh, E., &amp; Davidoff, J. (2001). A cross-media presence questionnaire: The </w:t>
      </w:r>
      <w:r>
        <w:rPr>
          <w:i/>
        </w:rPr>
        <w:t>ITC-Sense of Presence Inventory</w:t>
      </w:r>
      <w:r>
        <w:t>. Presence: Teleoperators and Virtual Environments, 10(3), 282–297. https://doi.org/10.1162/105474601300343612</w:t>
      </w:r>
    </w:p>
    <w:p w14:paraId="5AD12BDB" w14:textId="77777777" w:rsidR="00762E5F" w:rsidRDefault="00000000" w:rsidP="00B34B59">
      <w:pPr>
        <w:spacing w:after="0" w:line="360" w:lineRule="auto"/>
        <w:ind w:left="283" w:hanging="283"/>
        <w:jc w:val="both"/>
      </w:pPr>
      <w:r>
        <w:t>Levitt, H. M., Pomerville, A., Surace, F. I., &amp; Spanierman, L. B. (2022). Learning clinical and cultural empathy: A call for a multidimensional approach to empathy-focused psychotherapy training. American Psychologist, 77(5), 617–629. https://doi.org/10.1037/amp0000970</w:t>
      </w:r>
    </w:p>
    <w:p w14:paraId="258C5CFB" w14:textId="77777777" w:rsidR="00762E5F" w:rsidRDefault="00000000" w:rsidP="00B34B59">
      <w:pPr>
        <w:spacing w:after="0" w:line="360" w:lineRule="auto"/>
        <w:ind w:left="283" w:hanging="283"/>
        <w:jc w:val="both"/>
      </w:pPr>
      <w:r>
        <w:t>Li Pira, G., Aquilini, B., Davoli, A., Grandi, S., &amp; Ruini, C. (2023). The use of virtual reality interventions to promote positive mental health: Systematic literature review. JMIR Mental Health, 10, e44998. https://doi.org/10.2196/44998</w:t>
      </w:r>
    </w:p>
    <w:p w14:paraId="14D7DCA8" w14:textId="77777777" w:rsidR="00762E5F" w:rsidRDefault="00000000" w:rsidP="00B34B59">
      <w:pPr>
        <w:spacing w:after="0" w:line="360" w:lineRule="auto"/>
        <w:ind w:left="283" w:hanging="283"/>
        <w:jc w:val="both"/>
      </w:pPr>
      <w:r>
        <w:t>Ling, Y., Nefs, H. T., Morina, N., Heynderickx, I., &amp; Brinkman, W.-P. (2014). A meta-analysis on the relationship between self-reported presence and anxiety in virtual reality exposure therapy for anxiety disorders. PLOS ONE, 9(5), e96144. https://doi.org/10.1371/journal.pone.0096144</w:t>
      </w:r>
    </w:p>
    <w:p w14:paraId="3838D9D8" w14:textId="77777777" w:rsidR="00762E5F" w:rsidRDefault="00000000" w:rsidP="00B34B59">
      <w:pPr>
        <w:spacing w:after="0" w:line="360" w:lineRule="auto"/>
        <w:ind w:left="283" w:hanging="283"/>
        <w:jc w:val="both"/>
      </w:pPr>
      <w:r>
        <w:t>Loderer, K., Pekrun, R., &amp; Lester, J. C. (2020). Beyond cold technology: A systematic review and meta-analysis on emotions in technology-based learning environments. Learning and Instruction, 70, 101162. https://doi.org/10.1016/j.learninstruc.2018.08.002</w:t>
      </w:r>
    </w:p>
    <w:p w14:paraId="780A11E0" w14:textId="77777777" w:rsidR="00762E5F" w:rsidRDefault="00000000" w:rsidP="00B34B59">
      <w:pPr>
        <w:spacing w:after="0" w:line="360" w:lineRule="auto"/>
        <w:ind w:left="283" w:hanging="283"/>
        <w:jc w:val="both"/>
      </w:pPr>
      <w:r>
        <w:t>Ma, J., Zhao, D., Xu, N., &amp; Yang, J. (2023). The effectiveness of immersive virtual reality (VR) based mindfulness training on improvement mental-health in adults: A narrative systematic review. Explore, 19(3), 310–318. https://doi.org/10.1016/j.explore.2022.08.001</w:t>
      </w:r>
    </w:p>
    <w:p w14:paraId="355CB97C" w14:textId="77777777" w:rsidR="00762E5F" w:rsidRDefault="00000000" w:rsidP="00B34B59">
      <w:pPr>
        <w:spacing w:after="0" w:line="360" w:lineRule="auto"/>
        <w:ind w:left="283" w:hanging="283"/>
        <w:jc w:val="both"/>
      </w:pPr>
      <w:r>
        <w:t>Makransky, G., &amp; Petersen, G. B. (2021). The Cognitive Affective Model of Immersive Learning (CAMIL): A theoretical research-based model of learning in immersive virtual reality. Educational Psychology Review, 33, 937–958. https://doi.org/10.1007/s10648-020-09586-2</w:t>
      </w:r>
    </w:p>
    <w:p w14:paraId="41448E4F" w14:textId="77777777" w:rsidR="00762E5F" w:rsidRDefault="00000000" w:rsidP="00B34B59">
      <w:pPr>
        <w:spacing w:after="0" w:line="360" w:lineRule="auto"/>
        <w:ind w:left="283" w:hanging="283"/>
        <w:jc w:val="both"/>
      </w:pPr>
      <w:r>
        <w:t>Makransky, G., Terkildsen, T. S., &amp; Mayer, R. E. (2019). Adding immersive virtual reality to a science lab simulation causes more presence but less learning. Learning and Instruction, 60, 225–236. https://doi.org/10.1016/j.learninstruc.2017.12.007</w:t>
      </w:r>
    </w:p>
    <w:p w14:paraId="7E143261" w14:textId="77777777" w:rsidR="00762E5F" w:rsidRDefault="00000000" w:rsidP="00B34B59">
      <w:pPr>
        <w:spacing w:after="0" w:line="360" w:lineRule="auto"/>
        <w:ind w:left="283" w:hanging="283"/>
        <w:jc w:val="both"/>
      </w:pPr>
      <w:r>
        <w:t>Martingano, A. J., Hererra, F., &amp; Konrath, S. (2021). Virtual reality improves emotional but not cognitive empathy: A meta-analysis. Technology, Mind, and Behavior, 2(1). https://doi.org/10.1037/tmb0000034</w:t>
      </w:r>
    </w:p>
    <w:p w14:paraId="67DDB097" w14:textId="77777777" w:rsidR="00762E5F" w:rsidRDefault="00000000" w:rsidP="00B34B59">
      <w:pPr>
        <w:spacing w:after="0" w:line="360" w:lineRule="auto"/>
        <w:ind w:left="283" w:hanging="283"/>
      </w:pPr>
      <w:r>
        <w:t>Meta Platforms, Inc. (2020). Meta Quest 2 [Virtual reality headset]. https://www.meta.com/quest/</w:t>
      </w:r>
    </w:p>
    <w:p w14:paraId="3ECC8CB6" w14:textId="77777777" w:rsidR="00762E5F" w:rsidRDefault="00000000" w:rsidP="00B34B59">
      <w:pPr>
        <w:spacing w:after="0" w:line="360" w:lineRule="auto"/>
        <w:ind w:left="283" w:hanging="283"/>
        <w:jc w:val="both"/>
      </w:pPr>
      <w:r>
        <w:t>Moher, D., Liberati, A., Tetzlaff, J., Altman, D. G., &amp; The PRISMA Group. (2009). Preferred reporting items for systematic reviews and meta-analyses: The PRISMA statement. PLOS Medicine, 6(7), e1000097. https://doi.org/10.1371/journal.pmed.1000097</w:t>
      </w:r>
    </w:p>
    <w:p w14:paraId="483F059F" w14:textId="77777777" w:rsidR="00762E5F" w:rsidRDefault="00000000" w:rsidP="00B34B59">
      <w:pPr>
        <w:spacing w:after="0" w:line="360" w:lineRule="auto"/>
        <w:ind w:left="283" w:hanging="283"/>
        <w:jc w:val="both"/>
      </w:pPr>
      <w:r>
        <w:t>Mostajeran, F., Fischer, M., Steinicke, F., &amp; Kühn, S. (2023). Effects of exposure to immersive computer-generated virtual nature and control environments on affect and cognition. Scientific Reports, 13, 220. https://doi.org/10.1038/s41598-022-26750-6</w:t>
      </w:r>
    </w:p>
    <w:p w14:paraId="34C786FE" w14:textId="77777777" w:rsidR="00762E5F" w:rsidRDefault="00000000" w:rsidP="00B34B59">
      <w:pPr>
        <w:spacing w:after="0" w:line="360" w:lineRule="auto"/>
        <w:ind w:left="283" w:hanging="283"/>
        <w:jc w:val="both"/>
      </w:pPr>
      <w:r>
        <w:t>Norcross, J. C. (Ed.). (2011). Psychotherapy relationships that work: Evidence-based responsiveness (2nd ed.). Oxford University Press.</w:t>
      </w:r>
    </w:p>
    <w:p w14:paraId="65929D21" w14:textId="77777777" w:rsidR="00762E5F" w:rsidRDefault="00000000" w:rsidP="00B34B59">
      <w:pPr>
        <w:spacing w:after="0" w:line="360" w:lineRule="auto"/>
        <w:ind w:left="283" w:hanging="283"/>
        <w:jc w:val="both"/>
      </w:pPr>
      <w:r>
        <w:t>Norcross, J. C., &amp; Karpiak, C. P. (2025). Psychotherapy relationships. In S. Hupp &amp; D. F. Tolin (Eds.), Science-based therapy: Raising the bar for empirically supported treatments (pp. 381–398). Cambridge University Press. https://doi.org/10.1017/9781009086264.022</w:t>
      </w:r>
    </w:p>
    <w:p w14:paraId="44A2F98B" w14:textId="77777777" w:rsidR="00762E5F" w:rsidRDefault="00000000" w:rsidP="00B34B59">
      <w:pPr>
        <w:spacing w:after="0" w:line="360" w:lineRule="auto"/>
        <w:ind w:left="283" w:hanging="283"/>
        <w:jc w:val="both"/>
      </w:pPr>
      <w:r>
        <w:t>Norcross, J. C., &amp; Lambert, M. J. (2018). Psychotherapy relationships that work III. Psychotherapy, 55(4), 303–315. https://doi.org/10.1037/pst0000193</w:t>
      </w:r>
    </w:p>
    <w:p w14:paraId="3B4C1B52" w14:textId="77777777" w:rsidR="00762E5F" w:rsidRDefault="00000000" w:rsidP="00B34B59">
      <w:pPr>
        <w:spacing w:after="0" w:line="360" w:lineRule="auto"/>
        <w:ind w:left="283" w:hanging="283"/>
        <w:jc w:val="both"/>
      </w:pPr>
      <w:r>
        <w:t>Oje, A. V., Hunsu, N. J., &amp; Fiorella, L. (2025). A systematic review of evidence-based design and pedagogical principles in educational virtual reality environments. Educational Research Review, 47, 100676. https://doi.org/10.1016/j.edurev.2025.100676</w:t>
      </w:r>
    </w:p>
    <w:p w14:paraId="71C0D9C0" w14:textId="77777777" w:rsidR="00762E5F" w:rsidRDefault="00000000" w:rsidP="00B34B59">
      <w:pPr>
        <w:spacing w:after="0" w:line="360" w:lineRule="auto"/>
        <w:ind w:left="283" w:hanging="283"/>
        <w:jc w:val="both"/>
      </w:pPr>
      <w:r>
        <w:t>Pedram, S., &amp; Piatkowski, T. (2025). Exploring the potential of virtual reality (VR) in mental healthcare: A systematic literature review. Virtual Reality, 29, 135. https://doi.org/10.1007/s10055-025-01181-6</w:t>
      </w:r>
    </w:p>
    <w:p w14:paraId="0E6E871A" w14:textId="77777777" w:rsidR="00762E5F" w:rsidRDefault="00000000" w:rsidP="00B34B59">
      <w:pPr>
        <w:spacing w:after="0" w:line="360" w:lineRule="auto"/>
        <w:ind w:left="283" w:hanging="283"/>
        <w:jc w:val="both"/>
      </w:pPr>
      <w:r>
        <w:t>Price, M., &amp; Anderson, P. (2007). The role of presence in virtual reality exposure therapy. Journal of Anxiety Disorders, 21(5), 742–751. https://doi.org/10.1016/j.janxdis.2006.11.002</w:t>
      </w:r>
    </w:p>
    <w:p w14:paraId="414196BC" w14:textId="77777777" w:rsidR="00762E5F" w:rsidRDefault="00000000" w:rsidP="00B34B59">
      <w:pPr>
        <w:spacing w:after="0" w:line="360" w:lineRule="auto"/>
        <w:ind w:left="283" w:hanging="283"/>
        <w:jc w:val="both"/>
      </w:pPr>
      <w:r>
        <w:t>Rønnestad, M. H., Orlinsky, D. E., &amp; Willutzki, U. (2025). Exploring influences of supervision on psychotherapists’ professional development: Correlates across career-level cohorts. Counselling Psychology Quarterly, 38(2), 297–319. https://doi.org/10.1080/09515070.2024.2378879</w:t>
      </w:r>
    </w:p>
    <w:p w14:paraId="0C407D2C" w14:textId="77777777" w:rsidR="00762E5F" w:rsidRDefault="00000000" w:rsidP="00B34B59">
      <w:pPr>
        <w:spacing w:after="0" w:line="360" w:lineRule="auto"/>
        <w:ind w:left="283" w:hanging="283"/>
        <w:jc w:val="both"/>
      </w:pPr>
      <w:r>
        <w:t>Rønnestad, M. H., Orlinsky, D. E., Schröder, T. A., Skovholt, T. M., &amp; Willutzki, U. (2019). The professional development of counsellors and psychotherapists: Implications of empirical studies for supervision, training and practice. Counselling and Psychotherapy Research, 19(3), 214–230. https://doi.org/10.1002/capr.12198</w:t>
      </w:r>
    </w:p>
    <w:p w14:paraId="210EB06B" w14:textId="77777777" w:rsidR="00762E5F" w:rsidRDefault="00000000" w:rsidP="00B34B59">
      <w:pPr>
        <w:spacing w:after="0" w:line="360" w:lineRule="auto"/>
        <w:ind w:left="283" w:hanging="283"/>
        <w:jc w:val="both"/>
      </w:pPr>
      <w:r>
        <w:t>Rønning, S. B., &amp; Bjørkly, S. (2019). The use of clinical role-play and reflection in learning therapeutic communication skills in mental health education: An integrative review. Advances in Medical Education and Practice, 10, 415–425. https://doi.org/10.2147/AMEP.S202115</w:t>
      </w:r>
    </w:p>
    <w:p w14:paraId="4B92AB86" w14:textId="77777777" w:rsidR="00762E5F" w:rsidRDefault="00000000" w:rsidP="00B34B59">
      <w:pPr>
        <w:spacing w:after="0" w:line="360" w:lineRule="auto"/>
        <w:ind w:left="283" w:hanging="283"/>
        <w:jc w:val="both"/>
      </w:pPr>
      <w:r>
        <w:t>Rosén, E. (2019). Learning how to learn: Psychology trainees’ self-compassion while implementing deliberate practice, with FIT at a psychotherapy training clinic [Master’s thesis, Umeå University].</w:t>
      </w:r>
    </w:p>
    <w:p w14:paraId="54CB056D" w14:textId="77777777" w:rsidR="00762E5F" w:rsidRDefault="00000000" w:rsidP="00B34B59">
      <w:pPr>
        <w:spacing w:after="0" w:line="360" w:lineRule="auto"/>
        <w:ind w:left="283" w:hanging="283"/>
        <w:jc w:val="both"/>
      </w:pPr>
      <w:r>
        <w:t>Schubert, T. W., Friedmann, F., &amp; Regenbrecht, H. (2001). The experience of presence: Factor analytic insights. Presence: Teleoperators and Virtual Environments, 10(3), 266–281.</w:t>
      </w:r>
    </w:p>
    <w:p w14:paraId="0B9C06F5" w14:textId="77777777" w:rsidR="00762E5F" w:rsidRDefault="00000000" w:rsidP="00B34B59">
      <w:pPr>
        <w:spacing w:after="0" w:line="360" w:lineRule="auto"/>
        <w:ind w:left="283" w:hanging="283"/>
        <w:jc w:val="both"/>
      </w:pPr>
      <w:r>
        <w:t>Schulz, K. F., Altman, D. G., &amp; Moher, D., for the CONSORT Group. (2010). CONSORT 2010 statement: Updated guidelines for reporting parallel group randomised trials. BMJ, 340, c332. https://doi.org/10.1136/bmj.c332</w:t>
      </w:r>
    </w:p>
    <w:p w14:paraId="7BC3AF1B" w14:textId="77777777" w:rsidR="00762E5F" w:rsidRDefault="00000000" w:rsidP="00B34B59">
      <w:pPr>
        <w:spacing w:after="0" w:line="360" w:lineRule="auto"/>
        <w:ind w:left="283" w:hanging="283"/>
        <w:jc w:val="both"/>
      </w:pPr>
      <w:r>
        <w:t>Shen, L. (2010). On a scale of state empathy during message processing. Western Journal of Communication, 74(5), 504–524. https://doi.org/10.1080/10570314.2010.512278</w:t>
      </w:r>
    </w:p>
    <w:p w14:paraId="1D21914D" w14:textId="77777777" w:rsidR="00762E5F" w:rsidRDefault="00000000" w:rsidP="00B34B59">
      <w:pPr>
        <w:spacing w:after="0" w:line="360" w:lineRule="auto"/>
        <w:ind w:left="283" w:hanging="283"/>
        <w:jc w:val="both"/>
      </w:pPr>
      <w:r>
        <w:t>Slater, M., &amp; Wilbur, S. (1997). A framework for immersive virtual environments (FIVE): Speculations on the role of presence in virtual environments. Presence: Teleoperators and Virtual Environments, 6(6), 603–616. https://doi.org/10.1162/pres.1997.6.6.603</w:t>
      </w:r>
    </w:p>
    <w:p w14:paraId="2BCFFF6E" w14:textId="77777777" w:rsidR="00762E5F" w:rsidRDefault="00000000" w:rsidP="00B34B59">
      <w:pPr>
        <w:spacing w:after="0" w:line="360" w:lineRule="auto"/>
        <w:ind w:left="283" w:hanging="283"/>
        <w:jc w:val="both"/>
      </w:pPr>
      <w:r>
        <w:t>Tufanaru, C., Munn, Z., Aromataris, E., Campbell, J., &amp; Hopp, L. (2020). Chapter 3: Systematic reviews of effectiveness. In E. Aromataris &amp; Z. Munn (Eds.), JBI manual for evidence synthesis. JBI.</w:t>
      </w:r>
    </w:p>
    <w:p w14:paraId="6586EB3C" w14:textId="77777777" w:rsidR="00762E5F" w:rsidRDefault="00000000" w:rsidP="00B34B59">
      <w:pPr>
        <w:spacing w:after="0" w:line="360" w:lineRule="auto"/>
        <w:ind w:left="283" w:hanging="283"/>
        <w:jc w:val="both"/>
      </w:pPr>
      <w:r>
        <w:t>Tusher, H. M., Mallam, S., &amp; Nazir, S. (2024). A systematic review of virtual reality features for skill training. Technology, Knowledge and Learning, 29(2), 843–878. https://doi.org/10.1007/s10758-023-09713-2</w:t>
      </w:r>
    </w:p>
    <w:p w14:paraId="03FB598E" w14:textId="63D542BC" w:rsidR="00762E5F" w:rsidRDefault="00000000" w:rsidP="00B34B59">
      <w:pPr>
        <w:spacing w:after="0" w:line="360" w:lineRule="auto"/>
        <w:ind w:left="283" w:hanging="283"/>
        <w:jc w:val="both"/>
      </w:pPr>
      <w:r>
        <w:t xml:space="preserve">Ventura, S., Badenes-Ribera, L., Herrero, R., Cebolla, A., Galiana, L., &amp; Baños, R. (2020). Virtual reality as a medium to elicit empathy: A meta-analysis. Cyberpsychology, Behavior, and Social Networking, 23(10), 667–676. </w:t>
      </w:r>
      <w:hyperlink r:id="rId19" w:history="1">
        <w:r w:rsidR="00A41977" w:rsidRPr="005C60EC">
          <w:rPr>
            <w:rStyle w:val="Hyperlink"/>
          </w:rPr>
          <w:t>https://doi.org/10.1089/cyber.2019.0681</w:t>
        </w:r>
      </w:hyperlink>
    </w:p>
    <w:p w14:paraId="08618ACD" w14:textId="1AB5B301" w:rsidR="00A41977" w:rsidRDefault="00A41977" w:rsidP="00B34B59">
      <w:pPr>
        <w:spacing w:after="0" w:line="360" w:lineRule="auto"/>
        <w:ind w:left="283" w:hanging="283"/>
        <w:jc w:val="both"/>
      </w:pPr>
      <w:r w:rsidRPr="00A41977">
        <w:t xml:space="preserve">Watson, D., Clark, L. A., &amp; Tellegen, A. (1988). Development and validation of brief measures of positive and negative affect: The PANAS scales. </w:t>
      </w:r>
      <w:r w:rsidRPr="00A41977">
        <w:rPr>
          <w:i/>
          <w:iCs/>
        </w:rPr>
        <w:t>Journal of Personality and Social Psychology, 54</w:t>
      </w:r>
      <w:r w:rsidRPr="00A41977">
        <w:t xml:space="preserve">(6), 1063–1070. </w:t>
      </w:r>
      <w:hyperlink r:id="rId20" w:tgtFrame="_new" w:history="1">
        <w:r w:rsidRPr="00A41977">
          <w:rPr>
            <w:rStyle w:val="Hyperlink"/>
          </w:rPr>
          <w:t>https://doi.org/10.1037/0022-3514.54.6.1063</w:t>
        </w:r>
      </w:hyperlink>
    </w:p>
    <w:p w14:paraId="5CA7609F" w14:textId="77777777" w:rsidR="00762E5F" w:rsidRDefault="00000000" w:rsidP="00B34B59">
      <w:pPr>
        <w:spacing w:after="0" w:line="360" w:lineRule="auto"/>
        <w:ind w:left="283" w:hanging="283"/>
        <w:jc w:val="both"/>
      </w:pPr>
      <w:r>
        <w:t>Yang, H., Cai, M., Diao, Y., Liu, R., Liu, L., &amp; Xiang, Q. (2023). How does interactive virtual reality enhance learning outcomes via emotional experiences? A structural equation modeling approach. Frontiers in Psychology, 13, 1081372. https://doi.org/10.3389/fpsyg.2022.1081372</w:t>
      </w:r>
    </w:p>
    <w:p w14:paraId="1C328AE8" w14:textId="77777777" w:rsidR="00762E5F" w:rsidRDefault="00762E5F" w:rsidP="00B34B59">
      <w:pPr>
        <w:spacing w:after="0" w:line="360" w:lineRule="auto"/>
      </w:pPr>
    </w:p>
    <w:p w14:paraId="5A07A346" w14:textId="77777777" w:rsidR="00762E5F" w:rsidRDefault="00762E5F" w:rsidP="00B34B59">
      <w:pPr>
        <w:spacing w:after="0" w:line="360" w:lineRule="auto"/>
      </w:pPr>
    </w:p>
    <w:sectPr w:rsidR="00762E5F" w:rsidSect="00034616">
      <w:footerReference w:type="default" r:id="rId21"/>
      <w:pgSz w:w="12240" w:h="15840"/>
      <w:pgMar w:top="1304" w:right="1417" w:bottom="130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A8DC7" w14:textId="77777777" w:rsidR="009319E5" w:rsidRDefault="009319E5">
      <w:pPr>
        <w:spacing w:after="0" w:line="240" w:lineRule="auto"/>
      </w:pPr>
      <w:r>
        <w:separator/>
      </w:r>
    </w:p>
  </w:endnote>
  <w:endnote w:type="continuationSeparator" w:id="0">
    <w:p w14:paraId="0A8A2543" w14:textId="77777777" w:rsidR="009319E5" w:rsidRDefault="00931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2CF69" w14:textId="77777777" w:rsidR="00762E5F" w:rsidRDefault="00000000">
    <w:pPr>
      <w:pStyle w:val="Footer"/>
      <w:jc w:val="center"/>
    </w:pPr>
    <w:r>
      <w:fldChar w:fldCharType="begin"/>
    </w:r>
    <w:r>
      <w:instrText>PAGE</w:instrText>
    </w:r>
    <w:r>
      <w:fldChar w:fldCharType="separate"/>
    </w:r>
    <w:r w:rsidR="008149C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E61A5" w14:textId="77777777" w:rsidR="009319E5" w:rsidRDefault="009319E5">
      <w:pPr>
        <w:spacing w:after="0" w:line="240" w:lineRule="auto"/>
      </w:pPr>
      <w:r>
        <w:separator/>
      </w:r>
    </w:p>
  </w:footnote>
  <w:footnote w:type="continuationSeparator" w:id="0">
    <w:p w14:paraId="0E60D8AB" w14:textId="77777777" w:rsidR="009319E5" w:rsidRDefault="009319E5">
      <w:pPr>
        <w:spacing w:after="0" w:line="240" w:lineRule="auto"/>
      </w:pPr>
      <w:r>
        <w:continuationSeparator/>
      </w:r>
    </w:p>
  </w:footnote>
  <w:footnote w:id="1">
    <w:p w14:paraId="05690526" w14:textId="058FF3E5" w:rsidR="008E6496" w:rsidRDefault="008E6496" w:rsidP="008E6496">
      <w:pPr>
        <w:pStyle w:val="Heading3"/>
        <w:spacing w:line="306" w:lineRule="auto"/>
        <w:rPr>
          <w:rFonts w:ascii="Times New Roman" w:eastAsia="Times New Roman" w:hAnsi="Times New Roman"/>
        </w:rPr>
      </w:pPr>
      <w:r>
        <w:rPr>
          <w:rStyle w:val="FootnoteReference"/>
        </w:rPr>
        <w:footnoteRef/>
      </w:r>
      <w:r w:rsidRPr="008E6496">
        <w:rPr>
          <w:rFonts w:ascii="Times New Roman" w:eastAsia="Times New Roman" w:hAnsi="Times New Roman" w:cstheme="minorBidi"/>
          <w:b w:val="0"/>
          <w:bCs w:val="0"/>
          <w:color w:val="auto"/>
        </w:rPr>
        <w:t xml:space="preserve">Acest studiu a fost publicat anterior ca: Cristolțan, D. A. (2026). Feasibility and usability of a VR-based training for therapeutic relationship skills in future psychotherapists: A pilot study. </w:t>
      </w:r>
      <w:r w:rsidRPr="008E6496">
        <w:rPr>
          <w:rFonts w:ascii="Times New Roman" w:eastAsia="Times New Roman" w:hAnsi="Times New Roman" w:cstheme="minorBidi"/>
          <w:b w:val="0"/>
          <w:bCs w:val="0"/>
          <w:i/>
          <w:iCs/>
          <w:color w:val="auto"/>
        </w:rPr>
        <w:t>Journal of Evidence-Based Psychotherapies, 26</w:t>
      </w:r>
      <w:r w:rsidRPr="008E6496">
        <w:rPr>
          <w:rFonts w:ascii="Times New Roman" w:eastAsia="Times New Roman" w:hAnsi="Times New Roman" w:cstheme="minorBidi"/>
          <w:b w:val="0"/>
          <w:bCs w:val="0"/>
          <w:color w:val="auto"/>
        </w:rPr>
        <w:t xml:space="preserve">(1), 19–38. </w:t>
      </w:r>
      <w:hyperlink r:id="rId1" w:history="1">
        <w:r w:rsidR="00004CD5" w:rsidRPr="00004CD5">
          <w:rPr>
            <w:rStyle w:val="Hyperlink"/>
            <w:rFonts w:ascii="Times New Roman" w:eastAsia="Times New Roman" w:hAnsi="Times New Roman" w:cstheme="minorBidi"/>
            <w:b w:val="0"/>
            <w:bCs w:val="0"/>
          </w:rPr>
          <w:t>https://doi.org/10.24193/jebp.2026.12</w:t>
        </w:r>
      </w:hyperlink>
    </w:p>
    <w:p w14:paraId="28F745F1" w14:textId="77777777" w:rsidR="008E6496" w:rsidRPr="008E6496" w:rsidRDefault="008E6496">
      <w:pPr>
        <w:pStyle w:val="FootnoteText"/>
        <w:rPr>
          <w:lang w:val="ro-RO"/>
        </w:rPr>
      </w:pPr>
    </w:p>
  </w:footnote>
  <w:footnote w:id="2">
    <w:p w14:paraId="3142FECD" w14:textId="77777777" w:rsidR="0030402D" w:rsidRPr="0030402D" w:rsidRDefault="0030402D" w:rsidP="0030402D">
      <w:pPr>
        <w:pStyle w:val="FootnoteText"/>
      </w:pPr>
      <w:r>
        <w:rPr>
          <w:rStyle w:val="FootnoteReference"/>
        </w:rPr>
        <w:footnoteRef/>
      </w:r>
      <w:r>
        <w:t xml:space="preserve"> </w:t>
      </w:r>
      <w:r>
        <w:rPr>
          <w:lang w:val="ro-RO"/>
        </w:rPr>
        <w:t xml:space="preserve">Acest studiu a fost publicat anterior sub titlul: Cristolțan, D. A. (2026). Traducerea și validarea versiunii în limba română a Inventarului </w:t>
      </w:r>
      <w:r>
        <w:rPr>
          <w:i/>
          <w:lang w:val="ro-RO"/>
        </w:rPr>
        <w:t>ITC–Sense of Presence</w:t>
      </w:r>
      <w:r>
        <w:rPr>
          <w:lang w:val="ro-RO"/>
        </w:rPr>
        <w:t xml:space="preserve"> (</w:t>
      </w:r>
      <w:r>
        <w:rPr>
          <w:i/>
          <w:lang w:val="ro-RO"/>
        </w:rPr>
        <w:t>ITC-SOPI</w:t>
      </w:r>
      <w:r>
        <w:rPr>
          <w:lang w:val="ro-RO"/>
        </w:rPr>
        <w:t>) pentru evaluarea prezenței în realitatea virtuală. Revista de Psihologie, 72(1), 63–79. https://doi.org/10.59277/RPSIH.2026.1.04</w:t>
      </w:r>
    </w:p>
    <w:p w14:paraId="7235C68D" w14:textId="77777777" w:rsidR="0030402D" w:rsidRPr="0030402D" w:rsidRDefault="0030402D">
      <w:pPr>
        <w:pStyle w:val="FootnoteText"/>
        <w:rPr>
          <w:lang w:val="ro-RO"/>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7B47C9F"/>
    <w:multiLevelType w:val="multilevel"/>
    <w:tmpl w:val="766EE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4405704">
    <w:abstractNumId w:val="8"/>
  </w:num>
  <w:num w:numId="2" w16cid:durableId="386993005">
    <w:abstractNumId w:val="6"/>
  </w:num>
  <w:num w:numId="3" w16cid:durableId="483351123">
    <w:abstractNumId w:val="5"/>
  </w:num>
  <w:num w:numId="4" w16cid:durableId="943535405">
    <w:abstractNumId w:val="4"/>
  </w:num>
  <w:num w:numId="5" w16cid:durableId="396587681">
    <w:abstractNumId w:val="7"/>
  </w:num>
  <w:num w:numId="6" w16cid:durableId="1447041327">
    <w:abstractNumId w:val="3"/>
  </w:num>
  <w:num w:numId="7" w16cid:durableId="1324048758">
    <w:abstractNumId w:val="2"/>
  </w:num>
  <w:num w:numId="8" w16cid:durableId="1316453715">
    <w:abstractNumId w:val="1"/>
  </w:num>
  <w:num w:numId="9" w16cid:durableId="423109966">
    <w:abstractNumId w:val="0"/>
  </w:num>
  <w:num w:numId="10" w16cid:durableId="11025318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CD5"/>
    <w:rsid w:val="0001213E"/>
    <w:rsid w:val="00034616"/>
    <w:rsid w:val="0006063C"/>
    <w:rsid w:val="000B2B02"/>
    <w:rsid w:val="000D50AB"/>
    <w:rsid w:val="000F313E"/>
    <w:rsid w:val="00111AE0"/>
    <w:rsid w:val="00122C93"/>
    <w:rsid w:val="0015074B"/>
    <w:rsid w:val="00157054"/>
    <w:rsid w:val="00164AFB"/>
    <w:rsid w:val="001924B2"/>
    <w:rsid w:val="001A7C48"/>
    <w:rsid w:val="001B0682"/>
    <w:rsid w:val="001D31C9"/>
    <w:rsid w:val="00204871"/>
    <w:rsid w:val="00256723"/>
    <w:rsid w:val="00280A80"/>
    <w:rsid w:val="002910A1"/>
    <w:rsid w:val="0029639D"/>
    <w:rsid w:val="0030402D"/>
    <w:rsid w:val="00305148"/>
    <w:rsid w:val="0032694A"/>
    <w:rsid w:val="00326F90"/>
    <w:rsid w:val="0036490A"/>
    <w:rsid w:val="003A7075"/>
    <w:rsid w:val="003B4388"/>
    <w:rsid w:val="003B7C52"/>
    <w:rsid w:val="003E318F"/>
    <w:rsid w:val="00422A31"/>
    <w:rsid w:val="00477604"/>
    <w:rsid w:val="004A68E6"/>
    <w:rsid w:val="004B04D3"/>
    <w:rsid w:val="004B6DA2"/>
    <w:rsid w:val="004F17BE"/>
    <w:rsid w:val="004F6028"/>
    <w:rsid w:val="00521A43"/>
    <w:rsid w:val="00525DC0"/>
    <w:rsid w:val="00540F0E"/>
    <w:rsid w:val="005430EF"/>
    <w:rsid w:val="00543219"/>
    <w:rsid w:val="00546905"/>
    <w:rsid w:val="00602406"/>
    <w:rsid w:val="006172DA"/>
    <w:rsid w:val="00662F04"/>
    <w:rsid w:val="006B5E7A"/>
    <w:rsid w:val="006F6F24"/>
    <w:rsid w:val="00711C62"/>
    <w:rsid w:val="00725B35"/>
    <w:rsid w:val="00732FBA"/>
    <w:rsid w:val="0074640D"/>
    <w:rsid w:val="00754EC1"/>
    <w:rsid w:val="00762E5F"/>
    <w:rsid w:val="007644E9"/>
    <w:rsid w:val="008149C0"/>
    <w:rsid w:val="00823CBB"/>
    <w:rsid w:val="00826A62"/>
    <w:rsid w:val="00847EE8"/>
    <w:rsid w:val="00867D79"/>
    <w:rsid w:val="008841E3"/>
    <w:rsid w:val="008B54E3"/>
    <w:rsid w:val="008D505D"/>
    <w:rsid w:val="008E6496"/>
    <w:rsid w:val="0093029F"/>
    <w:rsid w:val="009319E5"/>
    <w:rsid w:val="009939D9"/>
    <w:rsid w:val="00997EE8"/>
    <w:rsid w:val="009E7B3B"/>
    <w:rsid w:val="00A2196B"/>
    <w:rsid w:val="00A418BC"/>
    <w:rsid w:val="00A41977"/>
    <w:rsid w:val="00A77F24"/>
    <w:rsid w:val="00AA1D8D"/>
    <w:rsid w:val="00AB380D"/>
    <w:rsid w:val="00B34B59"/>
    <w:rsid w:val="00B47730"/>
    <w:rsid w:val="00B56470"/>
    <w:rsid w:val="00B62880"/>
    <w:rsid w:val="00BF3320"/>
    <w:rsid w:val="00C073B1"/>
    <w:rsid w:val="00C07588"/>
    <w:rsid w:val="00C27DF6"/>
    <w:rsid w:val="00C30431"/>
    <w:rsid w:val="00C317B4"/>
    <w:rsid w:val="00C47ABF"/>
    <w:rsid w:val="00C611F2"/>
    <w:rsid w:val="00C91E49"/>
    <w:rsid w:val="00CB0664"/>
    <w:rsid w:val="00CC55A1"/>
    <w:rsid w:val="00CC72B5"/>
    <w:rsid w:val="00D0484D"/>
    <w:rsid w:val="00D0655D"/>
    <w:rsid w:val="00D0698A"/>
    <w:rsid w:val="00D13D7D"/>
    <w:rsid w:val="00D21508"/>
    <w:rsid w:val="00D36412"/>
    <w:rsid w:val="00D9423F"/>
    <w:rsid w:val="00DB5015"/>
    <w:rsid w:val="00DC4EFA"/>
    <w:rsid w:val="00DD6165"/>
    <w:rsid w:val="00E11B2E"/>
    <w:rsid w:val="00E1548E"/>
    <w:rsid w:val="00E32DA1"/>
    <w:rsid w:val="00EC444A"/>
    <w:rsid w:val="00ED23D7"/>
    <w:rsid w:val="00F043BB"/>
    <w:rsid w:val="00F11D52"/>
    <w:rsid w:val="00F36A09"/>
    <w:rsid w:val="00F6330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8594FB"/>
  <w14:defaultImageDpi w14:val="300"/>
  <w15:docId w15:val="{506458AC-59EB-4B2C-9582-C3503217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396"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8149C0"/>
    <w:pPr>
      <w:spacing w:before="100" w:beforeAutospacing="1" w:afterAutospacing="1" w:line="240" w:lineRule="auto"/>
    </w:pPr>
    <w:rPr>
      <w:rFonts w:cs="Times New Roman"/>
      <w:szCs w:val="24"/>
    </w:rPr>
  </w:style>
  <w:style w:type="character" w:styleId="Hyperlink">
    <w:name w:val="Hyperlink"/>
    <w:basedOn w:val="DefaultParagraphFont"/>
    <w:uiPriority w:val="99"/>
    <w:unhideWhenUsed/>
    <w:rsid w:val="008149C0"/>
    <w:rPr>
      <w:color w:val="0000FF"/>
      <w:u w:val="single"/>
    </w:rPr>
  </w:style>
  <w:style w:type="paragraph" w:customStyle="1" w:styleId="isselectedend">
    <w:name w:val="isselectedend"/>
    <w:basedOn w:val="Normal"/>
    <w:rsid w:val="00725B35"/>
    <w:pPr>
      <w:spacing w:before="100" w:beforeAutospacing="1" w:afterAutospacing="1" w:line="240" w:lineRule="auto"/>
    </w:pPr>
    <w:rPr>
      <w:rFonts w:cs="Times New Roman"/>
      <w:szCs w:val="24"/>
    </w:rPr>
  </w:style>
  <w:style w:type="character" w:styleId="UnresolvedMention">
    <w:name w:val="Unresolved Mention"/>
    <w:basedOn w:val="DefaultParagraphFont"/>
    <w:uiPriority w:val="99"/>
    <w:semiHidden/>
    <w:unhideWhenUsed/>
    <w:rsid w:val="008E6496"/>
    <w:rPr>
      <w:color w:val="605E5C"/>
      <w:shd w:val="clear" w:color="auto" w:fill="E1DFDD"/>
    </w:rPr>
  </w:style>
  <w:style w:type="paragraph" w:styleId="FootnoteText">
    <w:name w:val="footnote text"/>
    <w:basedOn w:val="Normal"/>
    <w:link w:val="FootnoteTextChar"/>
    <w:uiPriority w:val="99"/>
    <w:semiHidden/>
    <w:unhideWhenUsed/>
    <w:rsid w:val="008E64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6496"/>
    <w:rPr>
      <w:rFonts w:ascii="Times New Roman" w:eastAsia="Times New Roman" w:hAnsi="Times New Roman"/>
      <w:sz w:val="20"/>
      <w:szCs w:val="20"/>
    </w:rPr>
  </w:style>
  <w:style w:type="character" w:styleId="FootnoteReference">
    <w:name w:val="footnote reference"/>
    <w:basedOn w:val="DefaultParagraphFont"/>
    <w:uiPriority w:val="99"/>
    <w:semiHidden/>
    <w:unhideWhenUsed/>
    <w:rsid w:val="008E6496"/>
    <w:rPr>
      <w:vertAlign w:val="superscript"/>
    </w:rPr>
  </w:style>
  <w:style w:type="paragraph" w:styleId="HTMLPreformatted">
    <w:name w:val="HTML Preformatted"/>
    <w:basedOn w:val="Normal"/>
    <w:link w:val="HTMLPreformattedChar"/>
    <w:uiPriority w:val="99"/>
    <w:semiHidden/>
    <w:unhideWhenUsed/>
    <w:rsid w:val="0030402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0402D"/>
    <w:rPr>
      <w:rFonts w:ascii="Consolas" w:eastAsia="Times New Roman"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s://doi.org/10.1080/10503307.2019.1677964"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doi.org/10.1080/10503300500352500" TargetMode="External"/><Relationship Id="rId2" Type="http://schemas.openxmlformats.org/officeDocument/2006/relationships/numbering" Target="numbering.xml"/><Relationship Id="rId16" Type="http://schemas.openxmlformats.org/officeDocument/2006/relationships/hyperlink" Target="https://jasp-stats.org/" TargetMode="External"/><Relationship Id="rId20" Type="http://schemas.openxmlformats.org/officeDocument/2006/relationships/hyperlink" Target="https://doi.org/10.1037/0022-3514.54.6.10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doi.org/10.1002/jclp.23391" TargetMode="External"/><Relationship Id="rId23" Type="http://schemas.openxmlformats.org/officeDocument/2006/relationships/theme" Target="theme/theme1.xml"/><Relationship Id="rId10" Type="http://schemas.openxmlformats.org/officeDocument/2006/relationships/hyperlink" Target="http://www.plagiarismdetector.com/" TargetMode="External"/><Relationship Id="rId19" Type="http://schemas.openxmlformats.org/officeDocument/2006/relationships/hyperlink" Target="https://doi.org/10.1089/cyber.2019.068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16/j.ece.2021.01.014"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24193/jebp.2026.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12896</Words>
  <Characters>73513</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Rezumatul tezei de doctorat - Dana Andreea Cristolțan</vt:lpstr>
    </vt:vector>
  </TitlesOfParts>
  <Manager/>
  <Company/>
  <LinksUpToDate>false</LinksUpToDate>
  <CharactersWithSpaces>86237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Rezumatul tezei de doctorat - Dana Andreea Cristolțan</dc:title>
  <dc:subject>Rezumat teză doctorat</dc:subject>
  <dc:creator>Dana Andreea Cristolțan</dc:creator>
  <cp:keywords>realitate virtuală; relație terapeutică; psihoterapeuți; empatie; alianță terapeutică</cp:keywords>
  <dc:description/>
  <cp:lastModifiedBy>ROG</cp:lastModifiedBy>
  <cp:revision>2</cp:revision>
  <dcterms:created xsi:type="dcterms:W3CDTF">2026-06-11T09:09:00Z</dcterms:created>
  <dcterms:modified xsi:type="dcterms:W3CDTF">2026-06-11T09:09:00Z</dcterms:modified>
  <cp:category/>
</cp:coreProperties>
</file>